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C473C7" w14:textId="77777777" w:rsidR="00BF57A5" w:rsidRDefault="00BF57A5" w:rsidP="00BF57A5">
      <w:pPr>
        <w:spacing w:after="0" w:line="240" w:lineRule="auto"/>
        <w:jc w:val="both"/>
        <w:rPr>
          <w:rFonts w:ascii="Times New Roman" w:eastAsia="Times New Roman" w:hAnsi="Times New Roman" w:cs="Times New Roman"/>
          <w:sz w:val="24"/>
          <w:szCs w:val="24"/>
          <w:lang w:eastAsia="pl-PL"/>
        </w:rPr>
      </w:pPr>
      <w:bookmarkStart w:id="0" w:name="_GoBack"/>
      <w:bookmarkEnd w:id="0"/>
    </w:p>
    <w:p w14:paraId="279A7A41" w14:textId="77777777" w:rsidR="00BF57A5" w:rsidRDefault="00BF57A5" w:rsidP="00BF57A5">
      <w:pPr>
        <w:jc w:val="both"/>
        <w:rPr>
          <w:rFonts w:ascii="Garamond" w:hAnsi="Garamond"/>
          <w:sz w:val="26"/>
          <w:szCs w:val="26"/>
        </w:rPr>
      </w:pPr>
      <w:r>
        <w:rPr>
          <w:noProof/>
          <w:lang w:eastAsia="pl-PL"/>
        </w:rPr>
        <w:drawing>
          <wp:anchor distT="0" distB="0" distL="114300" distR="114300" simplePos="0" relativeHeight="251659264" behindDoc="0" locked="0" layoutInCell="1" allowOverlap="1" wp14:anchorId="3472B7B8" wp14:editId="2FFED46D">
            <wp:simplePos x="0" y="0"/>
            <wp:positionH relativeFrom="column">
              <wp:posOffset>593090</wp:posOffset>
            </wp:positionH>
            <wp:positionV relativeFrom="paragraph">
              <wp:posOffset>-191770</wp:posOffset>
            </wp:positionV>
            <wp:extent cx="501015" cy="47688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1015" cy="476885"/>
                    </a:xfrm>
                    <a:prstGeom prst="rect">
                      <a:avLst/>
                    </a:prstGeom>
                    <a:noFill/>
                  </pic:spPr>
                </pic:pic>
              </a:graphicData>
            </a:graphic>
            <wp14:sizeRelH relativeFrom="page">
              <wp14:pctWidth>0</wp14:pctWidth>
            </wp14:sizeRelH>
            <wp14:sizeRelV relativeFrom="page">
              <wp14:pctHeight>0</wp14:pctHeight>
            </wp14:sizeRelV>
          </wp:anchor>
        </w:drawing>
      </w:r>
    </w:p>
    <w:p w14:paraId="6C50C4BC" w14:textId="77777777" w:rsidR="00BF57A5" w:rsidRDefault="00BF57A5" w:rsidP="00BF57A5">
      <w:pPr>
        <w:tabs>
          <w:tab w:val="center" w:pos="4536"/>
          <w:tab w:val="right" w:pos="9072"/>
        </w:tabs>
        <w:spacing w:after="0"/>
        <w:ind w:left="-851" w:right="5526"/>
        <w:jc w:val="both"/>
        <w:rPr>
          <w:rFonts w:ascii="Garamond" w:eastAsia="Times New Roman" w:hAnsi="Garamond" w:cs="Times New Roman"/>
          <w:b/>
          <w:sz w:val="8"/>
          <w:szCs w:val="8"/>
          <w:lang w:eastAsia="pl-PL"/>
        </w:rPr>
      </w:pPr>
    </w:p>
    <w:p w14:paraId="7198582E" w14:textId="77777777" w:rsidR="00BF57A5" w:rsidRDefault="00BF57A5" w:rsidP="00BF57A5">
      <w:pPr>
        <w:tabs>
          <w:tab w:val="center" w:pos="4536"/>
          <w:tab w:val="right" w:pos="9072"/>
        </w:tabs>
        <w:spacing w:after="0" w:line="240" w:lineRule="auto"/>
        <w:ind w:left="-851" w:right="5526"/>
        <w:jc w:val="center"/>
        <w:rPr>
          <w:rFonts w:ascii="Times New Roman" w:eastAsia="Times New Roman" w:hAnsi="Times New Roman" w:cs="Times New Roman"/>
          <w:b/>
          <w:sz w:val="24"/>
          <w:szCs w:val="24"/>
          <w:lang w:eastAsia="pl-PL"/>
        </w:rPr>
      </w:pPr>
      <w:r>
        <w:rPr>
          <w:rFonts w:ascii="Garamond" w:eastAsia="Times New Roman" w:hAnsi="Garamond" w:cs="Times New Roman"/>
          <w:b/>
          <w:sz w:val="24"/>
          <w:szCs w:val="24"/>
          <w:lang w:eastAsia="pl-PL"/>
        </w:rPr>
        <w:t>KRAJOWA SZKOŁA</w:t>
      </w:r>
    </w:p>
    <w:p w14:paraId="7C7BCE86" w14:textId="77777777" w:rsidR="00BF57A5" w:rsidRDefault="00BF57A5" w:rsidP="00BF57A5">
      <w:pPr>
        <w:tabs>
          <w:tab w:val="center" w:pos="4536"/>
          <w:tab w:val="right" w:pos="9072"/>
        </w:tabs>
        <w:spacing w:after="0" w:line="240" w:lineRule="auto"/>
        <w:ind w:left="-851" w:right="5526"/>
        <w:jc w:val="center"/>
        <w:rPr>
          <w:rFonts w:ascii="Garamond" w:eastAsia="Times New Roman" w:hAnsi="Garamond" w:cs="Times New Roman"/>
          <w:sz w:val="26"/>
          <w:szCs w:val="26"/>
          <w:lang w:eastAsia="pl-PL"/>
        </w:rPr>
      </w:pPr>
      <w:r>
        <w:rPr>
          <w:rFonts w:ascii="Garamond" w:eastAsia="Times New Roman" w:hAnsi="Garamond" w:cs="Times New Roman"/>
          <w:b/>
          <w:sz w:val="24"/>
          <w:szCs w:val="24"/>
          <w:lang w:eastAsia="pl-PL"/>
        </w:rPr>
        <w:t>SĄDOWNICTWA I PROKURATURY</w:t>
      </w:r>
      <w:r>
        <w:rPr>
          <w:rFonts w:ascii="Garamond" w:eastAsia="Times New Roman" w:hAnsi="Garamond" w:cs="Times New Roman"/>
          <w:sz w:val="24"/>
          <w:szCs w:val="24"/>
          <w:lang w:eastAsia="pl-PL"/>
        </w:rPr>
        <w:t xml:space="preserve"> </w:t>
      </w:r>
    </w:p>
    <w:p w14:paraId="34AEE796" w14:textId="77777777" w:rsidR="00BF57A5" w:rsidRDefault="00BF57A5" w:rsidP="00BF57A5">
      <w:pPr>
        <w:spacing w:after="0" w:line="360" w:lineRule="auto"/>
        <w:rPr>
          <w:rFonts w:ascii="Times New Roman" w:hAnsi="Times New Roman" w:cs="Times New Roman"/>
          <w:sz w:val="24"/>
          <w:szCs w:val="24"/>
        </w:rPr>
      </w:pPr>
      <w:r>
        <w:tab/>
        <w:t xml:space="preserve">                                      </w:t>
      </w:r>
    </w:p>
    <w:p w14:paraId="34F7378A" w14:textId="77777777" w:rsidR="00BF57A5" w:rsidRDefault="00BF57A5" w:rsidP="00BF57A5">
      <w:pPr>
        <w:spacing w:after="0" w:line="240" w:lineRule="auto"/>
        <w:jc w:val="both"/>
        <w:rPr>
          <w:rFonts w:ascii="Times New Roman" w:eastAsia="Times New Roman" w:hAnsi="Times New Roman" w:cs="Times New Roman"/>
          <w:sz w:val="24"/>
          <w:szCs w:val="24"/>
          <w:lang w:eastAsia="pl-PL"/>
        </w:rPr>
      </w:pPr>
    </w:p>
    <w:p w14:paraId="0B1A7F01" w14:textId="77777777" w:rsidR="00BF57A5" w:rsidRDefault="00BF57A5" w:rsidP="00BF57A5">
      <w:pPr>
        <w:spacing w:after="0" w:line="240" w:lineRule="auto"/>
        <w:ind w:left="4956"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Kraków, dnia   maja 2022r.</w:t>
      </w:r>
    </w:p>
    <w:p w14:paraId="128702FC" w14:textId="77777777" w:rsidR="00BF57A5" w:rsidRDefault="00BF57A5" w:rsidP="00BF57A5">
      <w:pPr>
        <w:spacing w:after="0" w:line="240" w:lineRule="auto"/>
        <w:ind w:left="3240"/>
        <w:jc w:val="both"/>
        <w:rPr>
          <w:rFonts w:ascii="Times New Roman" w:eastAsia="Times New Roman" w:hAnsi="Times New Roman" w:cs="Times New Roman"/>
          <w:sz w:val="24"/>
          <w:szCs w:val="24"/>
          <w:lang w:eastAsia="pl-PL"/>
        </w:rPr>
      </w:pPr>
    </w:p>
    <w:p w14:paraId="608A4B2C" w14:textId="043B107C" w:rsidR="00BF57A5" w:rsidRDefault="00BF57A5" w:rsidP="00BF57A5">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OAP-II.420.10.</w:t>
      </w:r>
      <w:r w:rsidR="00FC4D25">
        <w:rPr>
          <w:rFonts w:ascii="Times New Roman" w:eastAsia="Times New Roman" w:hAnsi="Times New Roman" w:cs="Times New Roman"/>
          <w:sz w:val="24"/>
          <w:szCs w:val="24"/>
          <w:lang w:eastAsia="pl-PL"/>
        </w:rPr>
        <w:t>1</w:t>
      </w:r>
      <w:r w:rsidR="0073283F">
        <w:rPr>
          <w:rFonts w:ascii="Times New Roman" w:eastAsia="Times New Roman" w:hAnsi="Times New Roman" w:cs="Times New Roman"/>
          <w:sz w:val="24"/>
          <w:szCs w:val="24"/>
          <w:lang w:eastAsia="pl-PL"/>
        </w:rPr>
        <w:t>3</w:t>
      </w:r>
      <w:r>
        <w:rPr>
          <w:rFonts w:ascii="Times New Roman" w:eastAsia="Times New Roman" w:hAnsi="Times New Roman" w:cs="Times New Roman"/>
          <w:sz w:val="24"/>
          <w:szCs w:val="24"/>
          <w:lang w:eastAsia="pl-PL"/>
        </w:rPr>
        <w:t>.2022</w:t>
      </w:r>
    </w:p>
    <w:p w14:paraId="33AB56B1" w14:textId="77777777" w:rsidR="00BF57A5" w:rsidRDefault="00BF57A5" w:rsidP="00BF57A5">
      <w:pPr>
        <w:suppressAutoHyphens/>
        <w:spacing w:before="120" w:after="120"/>
        <w:ind w:left="4536"/>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Patroni Koordynatorzy</w:t>
      </w:r>
    </w:p>
    <w:p w14:paraId="4F298BC8" w14:textId="77777777" w:rsidR="00BF57A5" w:rsidRDefault="00BF57A5" w:rsidP="00BF57A5">
      <w:pPr>
        <w:suppressAutoHyphens/>
        <w:spacing w:before="120" w:after="120"/>
        <w:ind w:left="4536"/>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oraz Patroni Praktyk</w:t>
      </w:r>
    </w:p>
    <w:p w14:paraId="07E45C70" w14:textId="77777777" w:rsidR="00BF57A5" w:rsidRDefault="00BF57A5" w:rsidP="00BF57A5">
      <w:pPr>
        <w:suppressAutoHyphens/>
        <w:spacing w:before="120" w:after="120"/>
        <w:ind w:left="4536"/>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aplikantów aplikacji prokuratorskiej</w:t>
      </w:r>
    </w:p>
    <w:p w14:paraId="5EBAF3ED" w14:textId="77777777" w:rsidR="00BF57A5" w:rsidRDefault="00BF57A5" w:rsidP="00BF57A5">
      <w:pPr>
        <w:suppressAutoHyphens/>
        <w:spacing w:before="120" w:after="120"/>
        <w:ind w:left="3240"/>
        <w:jc w:val="right"/>
        <w:rPr>
          <w:rFonts w:ascii="Times New Roman" w:eastAsia="Times New Roman" w:hAnsi="Times New Roman" w:cs="Times New Roman"/>
          <w:b/>
          <w:sz w:val="24"/>
          <w:szCs w:val="24"/>
          <w:lang w:eastAsia="zh-CN"/>
        </w:rPr>
      </w:pPr>
    </w:p>
    <w:p w14:paraId="452CB0A0" w14:textId="5FF41493" w:rsidR="00BF57A5" w:rsidRDefault="00BF57A5" w:rsidP="00BF57A5">
      <w:pPr>
        <w:suppressAutoHyphens/>
        <w:spacing w:before="120" w:after="120"/>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Dotyczy praktyk aplikantów aplikacji uzupełniającej prokuratorskiej II rocznika po </w:t>
      </w:r>
      <w:r w:rsidR="0073283F">
        <w:rPr>
          <w:rFonts w:ascii="Times New Roman" w:eastAsia="Times New Roman" w:hAnsi="Times New Roman" w:cs="Times New Roman"/>
          <w:b/>
          <w:sz w:val="24"/>
          <w:szCs w:val="24"/>
          <w:lang w:eastAsia="zh-CN"/>
        </w:rPr>
        <w:t>30</w:t>
      </w:r>
      <w:r>
        <w:rPr>
          <w:rFonts w:ascii="Times New Roman" w:eastAsia="Times New Roman" w:hAnsi="Times New Roman" w:cs="Times New Roman"/>
          <w:b/>
          <w:sz w:val="24"/>
          <w:szCs w:val="24"/>
          <w:lang w:eastAsia="zh-CN"/>
        </w:rPr>
        <w:t>. zjeździe</w:t>
      </w:r>
    </w:p>
    <w:p w14:paraId="5E80C8AF" w14:textId="77777777" w:rsidR="00BF57A5" w:rsidRDefault="00BF57A5" w:rsidP="00BF57A5">
      <w:pPr>
        <w:suppressAutoHyphens/>
        <w:spacing w:before="120" w:after="120"/>
        <w:jc w:val="both"/>
        <w:rPr>
          <w:rFonts w:ascii="Times New Roman" w:eastAsia="Times New Roman" w:hAnsi="Times New Roman" w:cs="Times New Roman"/>
          <w:b/>
          <w:sz w:val="24"/>
          <w:szCs w:val="24"/>
          <w:lang w:eastAsia="zh-CN"/>
        </w:rPr>
      </w:pPr>
    </w:p>
    <w:p w14:paraId="0D9FC442" w14:textId="37E9E61A" w:rsidR="00BF57A5" w:rsidRDefault="00BF57A5" w:rsidP="00BF57A5">
      <w:pPr>
        <w:spacing w:after="0" w:line="36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W oparciu o § 2, 9 i 10 zarządzenia Dyrektora Krajowej Szkoły Sądownictwa</w:t>
      </w:r>
      <w:r>
        <w:rPr>
          <w:rFonts w:ascii="Times New Roman" w:eastAsia="Times New Roman" w:hAnsi="Times New Roman"/>
          <w:sz w:val="24"/>
          <w:szCs w:val="24"/>
        </w:rPr>
        <w:br/>
        <w:t xml:space="preserve">i Prokuratury Nr 132/2019 z dnia 15 marca 2019 roku sygn. OAS-III.400.2019, OAP-III.400.2.2019 w sprawie szczegółowych zasad odbywania praktyki przez aplikantów aplikacji sędziowskiej i prokuratorskiej, uprzejmie przedstawiam szczegółowy zakres tematyczny, który powinien być przedmiotem praktyk aplikantów aplikacji uzupełniającej prokuratorskiej, </w:t>
      </w:r>
      <w:r>
        <w:rPr>
          <w:rFonts w:ascii="Times New Roman" w:eastAsia="Times New Roman" w:hAnsi="Times New Roman" w:cs="Times New Roman"/>
          <w:sz w:val="24"/>
          <w:szCs w:val="24"/>
          <w:lang w:eastAsia="pl-PL"/>
        </w:rPr>
        <w:t xml:space="preserve">odbywanych w wymiarze </w:t>
      </w:r>
      <w:r>
        <w:rPr>
          <w:rFonts w:ascii="Times New Roman" w:eastAsia="Times New Roman" w:hAnsi="Times New Roman" w:cs="Times New Roman"/>
          <w:b/>
          <w:sz w:val="24"/>
          <w:szCs w:val="24"/>
          <w:lang w:eastAsia="pl-PL"/>
        </w:rPr>
        <w:t xml:space="preserve">1 dnia w okresie od </w:t>
      </w:r>
      <w:r w:rsidR="0073283F">
        <w:rPr>
          <w:rFonts w:ascii="Times New Roman" w:eastAsia="Times New Roman" w:hAnsi="Times New Roman" w:cs="Times New Roman"/>
          <w:b/>
          <w:sz w:val="24"/>
          <w:szCs w:val="24"/>
          <w:lang w:eastAsia="pl-PL"/>
        </w:rPr>
        <w:t xml:space="preserve">21 </w:t>
      </w:r>
      <w:r>
        <w:rPr>
          <w:rFonts w:ascii="Times New Roman" w:eastAsia="Times New Roman" w:hAnsi="Times New Roman" w:cs="Times New Roman"/>
          <w:b/>
          <w:sz w:val="24"/>
          <w:szCs w:val="24"/>
          <w:lang w:eastAsia="pl-PL"/>
        </w:rPr>
        <w:t xml:space="preserve">do </w:t>
      </w:r>
      <w:r w:rsidR="0073283F">
        <w:rPr>
          <w:rFonts w:ascii="Times New Roman" w:eastAsia="Times New Roman" w:hAnsi="Times New Roman" w:cs="Times New Roman"/>
          <w:b/>
          <w:sz w:val="24"/>
          <w:szCs w:val="24"/>
          <w:lang w:eastAsia="pl-PL"/>
        </w:rPr>
        <w:t>25</w:t>
      </w:r>
      <w:r w:rsidR="000B55C6">
        <w:rPr>
          <w:rFonts w:ascii="Times New Roman" w:eastAsia="Times New Roman" w:hAnsi="Times New Roman" w:cs="Times New Roman"/>
          <w:b/>
          <w:sz w:val="24"/>
          <w:szCs w:val="24"/>
          <w:lang w:eastAsia="pl-PL"/>
        </w:rPr>
        <w:t xml:space="preserve"> listopada</w:t>
      </w:r>
      <w:r>
        <w:rPr>
          <w:rFonts w:ascii="Times New Roman" w:eastAsia="Times New Roman" w:hAnsi="Times New Roman" w:cs="Times New Roman"/>
          <w:b/>
          <w:sz w:val="24"/>
          <w:szCs w:val="24"/>
          <w:lang w:eastAsia="pl-PL"/>
        </w:rPr>
        <w:t xml:space="preserve"> 2022 roku oraz 1 dnia w okresie od </w:t>
      </w:r>
      <w:r w:rsidR="0073283F">
        <w:rPr>
          <w:rFonts w:ascii="Times New Roman" w:eastAsia="Times New Roman" w:hAnsi="Times New Roman" w:cs="Times New Roman"/>
          <w:b/>
          <w:sz w:val="24"/>
          <w:szCs w:val="24"/>
          <w:lang w:eastAsia="pl-PL"/>
        </w:rPr>
        <w:t>28</w:t>
      </w:r>
      <w:r w:rsidR="00E7101B">
        <w:rPr>
          <w:rFonts w:ascii="Times New Roman" w:eastAsia="Times New Roman" w:hAnsi="Times New Roman" w:cs="Times New Roman"/>
          <w:b/>
          <w:sz w:val="24"/>
          <w:szCs w:val="24"/>
          <w:lang w:eastAsia="pl-PL"/>
        </w:rPr>
        <w:t xml:space="preserve"> listopada </w:t>
      </w:r>
      <w:r w:rsidR="0073283F">
        <w:rPr>
          <w:rFonts w:ascii="Times New Roman" w:eastAsia="Times New Roman" w:hAnsi="Times New Roman" w:cs="Times New Roman"/>
          <w:b/>
          <w:sz w:val="24"/>
          <w:szCs w:val="24"/>
          <w:lang w:eastAsia="pl-PL"/>
        </w:rPr>
        <w:t xml:space="preserve">do 2 grudnia </w:t>
      </w:r>
      <w:r>
        <w:rPr>
          <w:rFonts w:ascii="Times New Roman" w:eastAsia="Times New Roman" w:hAnsi="Times New Roman" w:cs="Times New Roman"/>
          <w:b/>
          <w:sz w:val="24"/>
          <w:szCs w:val="24"/>
          <w:lang w:eastAsia="pl-PL"/>
        </w:rPr>
        <w:t xml:space="preserve">2022 roku </w:t>
      </w:r>
      <w:r>
        <w:rPr>
          <w:rFonts w:ascii="Times New Roman" w:eastAsia="Times New Roman" w:hAnsi="Times New Roman"/>
          <w:sz w:val="24"/>
          <w:szCs w:val="24"/>
        </w:rPr>
        <w:t xml:space="preserve">odbywanych w </w:t>
      </w:r>
      <w:r w:rsidR="0073283F">
        <w:rPr>
          <w:rFonts w:ascii="Times New Roman" w:eastAsia="Times New Roman" w:hAnsi="Times New Roman"/>
          <w:sz w:val="24"/>
          <w:szCs w:val="24"/>
        </w:rPr>
        <w:t>prokuraturach: rejonowych lub okręgowych u prokuratorów wykonujących zadania z zakresu prawa administracyjnego</w:t>
      </w:r>
      <w:r>
        <w:rPr>
          <w:rFonts w:ascii="Times New Roman" w:eastAsia="Times New Roman" w:hAnsi="Times New Roman"/>
          <w:sz w:val="24"/>
          <w:szCs w:val="24"/>
        </w:rPr>
        <w:t xml:space="preserve">.  </w:t>
      </w:r>
    </w:p>
    <w:p w14:paraId="4538D3EB" w14:textId="77777777" w:rsidR="00BF57A5" w:rsidRDefault="00BF57A5" w:rsidP="00BF57A5">
      <w:pPr>
        <w:spacing w:after="0" w:line="36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Zasadniczym celem praktyk jest zaznajomienie aplikantów z czynnościami i metodyką pracy patrona oraz doskonalenie umiejętności wykorzystania wiedzy teoretycznej</w:t>
      </w:r>
      <w:r>
        <w:rPr>
          <w:rFonts w:ascii="Times New Roman" w:eastAsia="Times New Roman" w:hAnsi="Times New Roman"/>
          <w:sz w:val="24"/>
          <w:szCs w:val="24"/>
        </w:rPr>
        <w:br/>
        <w:t xml:space="preserve">i znajomości orzecznictwa. Każdorazowo praktyka winna utrwalić wiedzę zdobytą podczas bezpośrednio poprzedzających ją zajęć seminaryjnych w ramach zjazdu. </w:t>
      </w:r>
    </w:p>
    <w:p w14:paraId="7CD6B065" w14:textId="07DBCA60" w:rsidR="005303B9" w:rsidRDefault="00BF57A5" w:rsidP="005303B9">
      <w:pPr>
        <w:spacing w:after="0" w:line="36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Przedmiotem </w:t>
      </w:r>
      <w:r w:rsidR="0073283F">
        <w:rPr>
          <w:rFonts w:ascii="Times New Roman" w:eastAsia="Times New Roman" w:hAnsi="Times New Roman"/>
          <w:sz w:val="24"/>
          <w:szCs w:val="24"/>
        </w:rPr>
        <w:t>30</w:t>
      </w:r>
      <w:r>
        <w:rPr>
          <w:rFonts w:ascii="Times New Roman" w:eastAsia="Times New Roman" w:hAnsi="Times New Roman"/>
          <w:sz w:val="24"/>
          <w:szCs w:val="24"/>
        </w:rPr>
        <w:t xml:space="preserve"> zjazdu aplikacji prokuratorskiej, który odbędzie w dniach </w:t>
      </w:r>
      <w:r w:rsidR="0073283F">
        <w:rPr>
          <w:rFonts w:ascii="Times New Roman" w:eastAsia="Times New Roman" w:hAnsi="Times New Roman"/>
          <w:sz w:val="24"/>
          <w:szCs w:val="24"/>
        </w:rPr>
        <w:t>19-20</w:t>
      </w:r>
      <w:r w:rsidR="000B55C6">
        <w:rPr>
          <w:rFonts w:ascii="Times New Roman" w:eastAsia="Times New Roman" w:hAnsi="Times New Roman"/>
          <w:sz w:val="24"/>
          <w:szCs w:val="24"/>
        </w:rPr>
        <w:t xml:space="preserve"> listopada</w:t>
      </w:r>
      <w:r>
        <w:rPr>
          <w:rFonts w:ascii="Times New Roman" w:eastAsia="Times New Roman" w:hAnsi="Times New Roman"/>
          <w:sz w:val="24"/>
          <w:szCs w:val="24"/>
        </w:rPr>
        <w:t xml:space="preserve">  2022 roku, będą następujące zagadnienia:</w:t>
      </w:r>
    </w:p>
    <w:p w14:paraId="15EF69E4" w14:textId="69A77BDE" w:rsidR="0073283F" w:rsidRPr="0073283F" w:rsidRDefault="0073283F" w:rsidP="005303B9">
      <w:pPr>
        <w:spacing w:after="0" w:line="360" w:lineRule="auto"/>
        <w:ind w:firstLine="708"/>
        <w:jc w:val="both"/>
        <w:rPr>
          <w:rFonts w:ascii="Times New Roman" w:eastAsia="Times New Roman" w:hAnsi="Times New Roman"/>
          <w:b/>
          <w:sz w:val="24"/>
          <w:szCs w:val="24"/>
        </w:rPr>
      </w:pPr>
      <w:r w:rsidRPr="0073283F">
        <w:rPr>
          <w:rFonts w:ascii="Times New Roman" w:eastAsia="Times New Roman" w:hAnsi="Times New Roman"/>
          <w:b/>
          <w:sz w:val="24"/>
          <w:szCs w:val="24"/>
        </w:rPr>
        <w:t>Prawo administracyjne.</w:t>
      </w:r>
    </w:p>
    <w:p w14:paraId="2D625159" w14:textId="77777777" w:rsidR="0073283F" w:rsidRPr="008F32D2" w:rsidRDefault="0073283F" w:rsidP="0073283F">
      <w:pPr>
        <w:pStyle w:val="Akapitzlist"/>
        <w:numPr>
          <w:ilvl w:val="0"/>
          <w:numId w:val="14"/>
        </w:numPr>
        <w:spacing w:after="0" w:line="360" w:lineRule="auto"/>
        <w:jc w:val="both"/>
        <w:rPr>
          <w:rFonts w:ascii="Times New Roman" w:eastAsia="Times New Roman" w:hAnsi="Times New Roman" w:cs="Times New Roman"/>
          <w:bCs/>
          <w:sz w:val="24"/>
          <w:szCs w:val="24"/>
          <w:lang w:eastAsia="pl-PL"/>
        </w:rPr>
      </w:pPr>
      <w:r w:rsidRPr="008F32D2">
        <w:rPr>
          <w:rFonts w:ascii="Times New Roman" w:eastAsia="Times New Roman" w:hAnsi="Times New Roman" w:cs="Times New Roman"/>
          <w:bCs/>
          <w:sz w:val="24"/>
          <w:szCs w:val="24"/>
          <w:lang w:eastAsia="pl-PL"/>
        </w:rPr>
        <w:t>Samorząd terytorialny oraz administracja rządowa w województwie. Akty prawa miejscowego.</w:t>
      </w:r>
    </w:p>
    <w:p w14:paraId="2FD7936F" w14:textId="77777777" w:rsidR="0073283F" w:rsidRPr="00A701D2" w:rsidRDefault="0073283F" w:rsidP="0073283F">
      <w:pPr>
        <w:spacing w:after="0" w:line="360" w:lineRule="auto"/>
        <w:jc w:val="both"/>
        <w:rPr>
          <w:rFonts w:ascii="Times New Roman" w:eastAsia="Times New Roman" w:hAnsi="Times New Roman" w:cs="Times New Roman"/>
          <w:bCs/>
          <w:sz w:val="24"/>
          <w:szCs w:val="24"/>
          <w:lang w:eastAsia="pl-PL"/>
        </w:rPr>
      </w:pPr>
      <w:r w:rsidRPr="00A701D2">
        <w:rPr>
          <w:rFonts w:ascii="Times New Roman" w:eastAsia="Times New Roman" w:hAnsi="Times New Roman" w:cs="Times New Roman"/>
          <w:bCs/>
          <w:sz w:val="24"/>
          <w:szCs w:val="24"/>
          <w:lang w:eastAsia="pl-PL"/>
        </w:rPr>
        <w:t>Wybrane przepisy Konstytucji RP oraz ustaw regulujących:</w:t>
      </w:r>
    </w:p>
    <w:p w14:paraId="7C3FC377" w14:textId="77777777" w:rsidR="0073283F" w:rsidRPr="00A701D2" w:rsidRDefault="0073283F" w:rsidP="0073283F">
      <w:pPr>
        <w:numPr>
          <w:ilvl w:val="0"/>
          <w:numId w:val="13"/>
        </w:numPr>
        <w:spacing w:after="0" w:line="360" w:lineRule="auto"/>
        <w:jc w:val="both"/>
        <w:rPr>
          <w:rFonts w:ascii="Times New Roman" w:eastAsia="Times New Roman" w:hAnsi="Times New Roman" w:cs="Times New Roman"/>
          <w:bCs/>
          <w:sz w:val="24"/>
          <w:szCs w:val="24"/>
          <w:lang w:eastAsia="pl-PL"/>
        </w:rPr>
      </w:pPr>
      <w:r w:rsidRPr="00A701D2">
        <w:rPr>
          <w:rFonts w:ascii="Times New Roman" w:eastAsia="Times New Roman" w:hAnsi="Times New Roman" w:cs="Times New Roman"/>
          <w:bCs/>
          <w:sz w:val="24"/>
          <w:szCs w:val="24"/>
          <w:lang w:eastAsia="pl-PL"/>
        </w:rPr>
        <w:lastRenderedPageBreak/>
        <w:t>samorząd gminny;</w:t>
      </w:r>
    </w:p>
    <w:p w14:paraId="353AAAA3" w14:textId="77777777" w:rsidR="0073283F" w:rsidRPr="00A701D2" w:rsidRDefault="0073283F" w:rsidP="0073283F">
      <w:pPr>
        <w:numPr>
          <w:ilvl w:val="0"/>
          <w:numId w:val="13"/>
        </w:numPr>
        <w:spacing w:after="0" w:line="360" w:lineRule="auto"/>
        <w:jc w:val="both"/>
        <w:rPr>
          <w:rFonts w:ascii="Times New Roman" w:eastAsia="Times New Roman" w:hAnsi="Times New Roman" w:cs="Times New Roman"/>
          <w:bCs/>
          <w:sz w:val="24"/>
          <w:szCs w:val="24"/>
          <w:lang w:eastAsia="pl-PL"/>
        </w:rPr>
      </w:pPr>
      <w:r w:rsidRPr="00A701D2">
        <w:rPr>
          <w:rFonts w:ascii="Times New Roman" w:eastAsia="Times New Roman" w:hAnsi="Times New Roman" w:cs="Times New Roman"/>
          <w:bCs/>
          <w:sz w:val="24"/>
          <w:szCs w:val="24"/>
          <w:lang w:eastAsia="pl-PL"/>
        </w:rPr>
        <w:t>samorząd powiatowy;</w:t>
      </w:r>
    </w:p>
    <w:p w14:paraId="26B0F32D" w14:textId="77777777" w:rsidR="0073283F" w:rsidRPr="00A701D2" w:rsidRDefault="0073283F" w:rsidP="0073283F">
      <w:pPr>
        <w:numPr>
          <w:ilvl w:val="0"/>
          <w:numId w:val="13"/>
        </w:numPr>
        <w:spacing w:after="0" w:line="360" w:lineRule="auto"/>
        <w:jc w:val="both"/>
        <w:rPr>
          <w:rFonts w:ascii="Times New Roman" w:eastAsia="Times New Roman" w:hAnsi="Times New Roman" w:cs="Times New Roman"/>
          <w:bCs/>
          <w:sz w:val="24"/>
          <w:szCs w:val="24"/>
          <w:lang w:eastAsia="pl-PL"/>
        </w:rPr>
      </w:pPr>
      <w:r w:rsidRPr="00A701D2">
        <w:rPr>
          <w:rFonts w:ascii="Times New Roman" w:eastAsia="Times New Roman" w:hAnsi="Times New Roman" w:cs="Times New Roman"/>
          <w:bCs/>
          <w:sz w:val="24"/>
          <w:szCs w:val="24"/>
          <w:lang w:eastAsia="pl-PL"/>
        </w:rPr>
        <w:t>samorząd województwa;</w:t>
      </w:r>
    </w:p>
    <w:p w14:paraId="6D6DD585" w14:textId="77777777" w:rsidR="0073283F" w:rsidRPr="00A701D2" w:rsidRDefault="0073283F" w:rsidP="0073283F">
      <w:pPr>
        <w:numPr>
          <w:ilvl w:val="0"/>
          <w:numId w:val="13"/>
        </w:numPr>
        <w:spacing w:after="0" w:line="360" w:lineRule="auto"/>
        <w:jc w:val="both"/>
        <w:rPr>
          <w:rFonts w:ascii="Times New Roman" w:eastAsia="Times New Roman" w:hAnsi="Times New Roman" w:cs="Times New Roman"/>
          <w:bCs/>
          <w:sz w:val="24"/>
          <w:szCs w:val="24"/>
          <w:lang w:eastAsia="pl-PL"/>
        </w:rPr>
      </w:pPr>
      <w:r w:rsidRPr="00A701D2">
        <w:rPr>
          <w:rFonts w:ascii="Times New Roman" w:eastAsia="Times New Roman" w:hAnsi="Times New Roman" w:cs="Times New Roman"/>
          <w:bCs/>
          <w:sz w:val="24"/>
          <w:szCs w:val="24"/>
          <w:lang w:eastAsia="pl-PL"/>
        </w:rPr>
        <w:t>regionalne izby obrachunkowe;</w:t>
      </w:r>
    </w:p>
    <w:p w14:paraId="29A536CB" w14:textId="77777777" w:rsidR="0073283F" w:rsidRPr="00A701D2" w:rsidRDefault="0073283F" w:rsidP="0073283F">
      <w:pPr>
        <w:numPr>
          <w:ilvl w:val="0"/>
          <w:numId w:val="13"/>
        </w:numPr>
        <w:spacing w:after="0" w:line="360" w:lineRule="auto"/>
        <w:jc w:val="both"/>
        <w:rPr>
          <w:rFonts w:ascii="Times New Roman" w:eastAsia="Times New Roman" w:hAnsi="Times New Roman" w:cs="Times New Roman"/>
          <w:bCs/>
          <w:sz w:val="24"/>
          <w:szCs w:val="24"/>
          <w:lang w:eastAsia="pl-PL"/>
        </w:rPr>
      </w:pPr>
      <w:r w:rsidRPr="00A701D2">
        <w:rPr>
          <w:rFonts w:ascii="Times New Roman" w:eastAsia="Times New Roman" w:hAnsi="Times New Roman" w:cs="Times New Roman"/>
          <w:bCs/>
          <w:sz w:val="24"/>
          <w:szCs w:val="24"/>
          <w:lang w:eastAsia="pl-PL"/>
        </w:rPr>
        <w:t>działania wojewody i administracji rządowej w województwie.</w:t>
      </w:r>
    </w:p>
    <w:p w14:paraId="4233DDBE" w14:textId="77777777" w:rsidR="0073283F" w:rsidRPr="00A701D2" w:rsidRDefault="0073283F" w:rsidP="0073283F">
      <w:pPr>
        <w:spacing w:after="0" w:line="360" w:lineRule="auto"/>
        <w:jc w:val="both"/>
        <w:rPr>
          <w:rFonts w:ascii="Times New Roman" w:eastAsia="Times New Roman" w:hAnsi="Times New Roman" w:cs="Times New Roman"/>
          <w:bCs/>
          <w:sz w:val="24"/>
          <w:szCs w:val="24"/>
          <w:lang w:eastAsia="pl-PL"/>
        </w:rPr>
      </w:pPr>
      <w:r w:rsidRPr="00A701D2">
        <w:rPr>
          <w:rFonts w:ascii="Times New Roman" w:eastAsia="Times New Roman" w:hAnsi="Times New Roman" w:cs="Times New Roman"/>
          <w:bCs/>
          <w:sz w:val="24"/>
          <w:szCs w:val="24"/>
          <w:lang w:eastAsia="pl-PL"/>
        </w:rPr>
        <w:t xml:space="preserve">Akty prawa miejscowego. Klasyfikacja. Obowiązywanie i publikacja. Zaskarżanie. Powaga rzeczy osądzonej. </w:t>
      </w:r>
    </w:p>
    <w:p w14:paraId="5ACE8D40" w14:textId="77777777" w:rsidR="0073283F" w:rsidRPr="00A701D2" w:rsidRDefault="0073283F" w:rsidP="0073283F">
      <w:pPr>
        <w:spacing w:after="0" w:line="360" w:lineRule="auto"/>
        <w:jc w:val="both"/>
        <w:rPr>
          <w:rFonts w:ascii="Times New Roman" w:eastAsia="Times New Roman" w:hAnsi="Times New Roman" w:cs="Times New Roman"/>
          <w:bCs/>
          <w:sz w:val="24"/>
          <w:szCs w:val="24"/>
          <w:lang w:eastAsia="pl-PL"/>
        </w:rPr>
      </w:pPr>
      <w:r w:rsidRPr="00A701D2">
        <w:rPr>
          <w:rFonts w:ascii="Times New Roman" w:eastAsia="Times New Roman" w:hAnsi="Times New Roman" w:cs="Times New Roman"/>
          <w:bCs/>
          <w:sz w:val="24"/>
          <w:szCs w:val="24"/>
          <w:lang w:eastAsia="pl-PL"/>
        </w:rPr>
        <w:t xml:space="preserve">Organy nadzoru nad samorządem terytorialnym. Tryb postępowania, rodzaje środków nadzoru oraz możliwości ich zaskarżania. </w:t>
      </w:r>
    </w:p>
    <w:p w14:paraId="410DB82D" w14:textId="77777777" w:rsidR="0073283F" w:rsidRDefault="0073283F" w:rsidP="0073283F">
      <w:pPr>
        <w:spacing w:after="0" w:line="360" w:lineRule="auto"/>
        <w:jc w:val="both"/>
        <w:rPr>
          <w:rFonts w:ascii="Times New Roman" w:eastAsia="Times New Roman" w:hAnsi="Times New Roman" w:cs="Times New Roman"/>
          <w:bCs/>
          <w:sz w:val="24"/>
          <w:szCs w:val="24"/>
          <w:lang w:eastAsia="pl-PL"/>
        </w:rPr>
      </w:pPr>
      <w:r w:rsidRPr="00A701D2">
        <w:rPr>
          <w:rFonts w:ascii="Times New Roman" w:eastAsia="Times New Roman" w:hAnsi="Times New Roman" w:cs="Times New Roman"/>
          <w:bCs/>
          <w:sz w:val="24"/>
          <w:szCs w:val="24"/>
          <w:lang w:eastAsia="pl-PL"/>
        </w:rPr>
        <w:t>Ustawowe uprawnienia prokuratora w stosunku do aktów prawa miejscowego.</w:t>
      </w:r>
    </w:p>
    <w:p w14:paraId="465F6DB7" w14:textId="77777777" w:rsidR="0073283F" w:rsidRPr="008F32D2" w:rsidRDefault="0073283F" w:rsidP="0073283F">
      <w:pPr>
        <w:pStyle w:val="Akapitzlist"/>
        <w:numPr>
          <w:ilvl w:val="0"/>
          <w:numId w:val="14"/>
        </w:numPr>
        <w:spacing w:after="0" w:line="360" w:lineRule="auto"/>
        <w:jc w:val="both"/>
        <w:rPr>
          <w:rFonts w:ascii="Times New Roman" w:eastAsia="Times New Roman" w:hAnsi="Times New Roman" w:cs="Times New Roman"/>
          <w:bCs/>
          <w:sz w:val="24"/>
          <w:szCs w:val="24"/>
          <w:lang w:eastAsia="pl-PL"/>
        </w:rPr>
      </w:pPr>
      <w:r w:rsidRPr="008F32D2">
        <w:rPr>
          <w:rFonts w:ascii="Times New Roman" w:eastAsia="Times New Roman" w:hAnsi="Times New Roman" w:cs="Times New Roman"/>
          <w:bCs/>
          <w:sz w:val="24"/>
          <w:szCs w:val="24"/>
          <w:lang w:eastAsia="pl-PL"/>
        </w:rPr>
        <w:t>Zaskarżanie przez prokuratora aktów prawa miejscowego.</w:t>
      </w:r>
    </w:p>
    <w:p w14:paraId="5600D760" w14:textId="77777777" w:rsidR="0073283F" w:rsidRPr="00A701D2" w:rsidRDefault="0073283F" w:rsidP="0073283F">
      <w:pPr>
        <w:spacing w:after="0" w:line="360" w:lineRule="auto"/>
        <w:jc w:val="both"/>
        <w:rPr>
          <w:rFonts w:ascii="Times New Roman" w:eastAsia="Times New Roman" w:hAnsi="Times New Roman" w:cs="Times New Roman"/>
          <w:bCs/>
          <w:sz w:val="24"/>
          <w:szCs w:val="24"/>
          <w:lang w:eastAsia="pl-PL"/>
        </w:rPr>
      </w:pPr>
      <w:r w:rsidRPr="00A701D2">
        <w:rPr>
          <w:rFonts w:ascii="Times New Roman" w:eastAsia="Times New Roman" w:hAnsi="Times New Roman" w:cs="Times New Roman"/>
          <w:bCs/>
          <w:sz w:val="24"/>
          <w:szCs w:val="24"/>
          <w:lang w:eastAsia="pl-PL"/>
        </w:rPr>
        <w:t xml:space="preserve">Podstawy prawne i przesłanki działań prokuratora w razie niezgodności z prawem aktów organów samorządu terytorialnego lub wojewody. Rodzaje środków prawnych przysługujących prokuratorowi. Skarga do sądu administracyjnego a wniosek w trybie art. 70 ustawy z dnia 28 stycznia 2016 r. Prawo o prokuraturze. Przepisy Regulaminu wewnętrznego urzędowania powszechnych jednostek organizacyjnych prokuratury. </w:t>
      </w:r>
    </w:p>
    <w:p w14:paraId="79536C2B" w14:textId="77777777" w:rsidR="0073283F" w:rsidRDefault="0073283F" w:rsidP="0073283F">
      <w:pPr>
        <w:spacing w:after="0" w:line="360" w:lineRule="auto"/>
        <w:ind w:firstLine="708"/>
        <w:jc w:val="both"/>
        <w:rPr>
          <w:rFonts w:ascii="Times New Roman" w:eastAsia="Times New Roman" w:hAnsi="Times New Roman" w:cs="Times New Roman"/>
          <w:bCs/>
          <w:sz w:val="24"/>
          <w:szCs w:val="24"/>
          <w:u w:val="single"/>
          <w:lang w:eastAsia="pl-PL"/>
        </w:rPr>
      </w:pPr>
    </w:p>
    <w:p w14:paraId="106995D9" w14:textId="77777777" w:rsidR="0073283F" w:rsidRDefault="0073283F" w:rsidP="0073283F">
      <w:pPr>
        <w:spacing w:after="0" w:line="360" w:lineRule="auto"/>
        <w:ind w:firstLine="708"/>
        <w:jc w:val="both"/>
        <w:rPr>
          <w:rFonts w:ascii="Times New Roman" w:eastAsia="Times New Roman" w:hAnsi="Times New Roman" w:cs="Times New Roman"/>
          <w:sz w:val="24"/>
          <w:szCs w:val="24"/>
          <w:lang w:eastAsia="pl-PL"/>
        </w:rPr>
      </w:pPr>
      <w:r w:rsidRPr="004B2BA7">
        <w:rPr>
          <w:rFonts w:ascii="Times New Roman" w:eastAsia="Times New Roman" w:hAnsi="Times New Roman" w:cs="Times New Roman"/>
          <w:sz w:val="24"/>
          <w:szCs w:val="24"/>
          <w:lang w:eastAsia="pl-PL"/>
        </w:rPr>
        <w:t>Celem praktyki</w:t>
      </w:r>
      <w:r>
        <w:rPr>
          <w:rFonts w:ascii="Times New Roman" w:eastAsia="Times New Roman" w:hAnsi="Times New Roman" w:cs="Times New Roman"/>
          <w:sz w:val="24"/>
          <w:szCs w:val="24"/>
          <w:lang w:eastAsia="pl-PL"/>
        </w:rPr>
        <w:t xml:space="preserve"> odbywanej w prokuraturach rejonowych lub okręgowych </w:t>
      </w:r>
      <w:r>
        <w:rPr>
          <w:rFonts w:ascii="Times New Roman" w:eastAsia="Times New Roman" w:hAnsi="Times New Roman" w:cs="Times New Roman"/>
          <w:sz w:val="24"/>
          <w:szCs w:val="24"/>
          <w:lang w:eastAsia="pl-PL"/>
        </w:rPr>
        <w:br/>
        <w:t xml:space="preserve">(u prokuratorów wykonujących zadania z zakresu prawa administracyjnego) </w:t>
      </w:r>
      <w:r w:rsidRPr="004B2BA7">
        <w:rPr>
          <w:rFonts w:ascii="Times New Roman" w:eastAsia="Times New Roman" w:hAnsi="Times New Roman" w:cs="Times New Roman"/>
          <w:sz w:val="24"/>
          <w:szCs w:val="24"/>
          <w:lang w:eastAsia="pl-PL"/>
        </w:rPr>
        <w:t xml:space="preserve">jest </w:t>
      </w:r>
      <w:r>
        <w:rPr>
          <w:rFonts w:ascii="Times New Roman" w:eastAsia="Times New Roman" w:hAnsi="Times New Roman" w:cs="Times New Roman"/>
          <w:sz w:val="24"/>
          <w:szCs w:val="24"/>
          <w:lang w:eastAsia="pl-PL"/>
        </w:rPr>
        <w:t xml:space="preserve">nabycie umiejętności opracowywania skarg na akty normatywne organów samorządy terytorialnego </w:t>
      </w:r>
      <w:r>
        <w:rPr>
          <w:rFonts w:ascii="Times New Roman" w:eastAsia="Times New Roman" w:hAnsi="Times New Roman" w:cs="Times New Roman"/>
          <w:sz w:val="24"/>
          <w:szCs w:val="24"/>
          <w:lang w:eastAsia="pl-PL"/>
        </w:rPr>
        <w:br/>
        <w:t>i wojewody, a także zapoznanie aplikantów z metodyką pracy prokuratorów, którym powierzono zadania z zakresu prawa administracyjnego ze szczególnym uwzględnieniem działań, w których prokurator sporządza sprzeciw od ostatecznej decyzji administracyjnej.</w:t>
      </w:r>
    </w:p>
    <w:p w14:paraId="3DA672C9" w14:textId="0BECF379" w:rsidR="0073283F" w:rsidRPr="004A20F9" w:rsidRDefault="0073283F" w:rsidP="0073283F">
      <w:pPr>
        <w:spacing w:after="0" w:line="360" w:lineRule="auto"/>
        <w:ind w:firstLine="708"/>
        <w:jc w:val="both"/>
        <w:rPr>
          <w:rFonts w:ascii="Times New Roman" w:eastAsia="Times New Roman" w:hAnsi="Times New Roman" w:cs="Times New Roman"/>
          <w:sz w:val="24"/>
          <w:szCs w:val="24"/>
          <w:lang w:eastAsia="pl-PL"/>
        </w:rPr>
      </w:pPr>
      <w:r w:rsidRPr="00835DA5">
        <w:rPr>
          <w:rFonts w:ascii="Times New Roman" w:eastAsia="Times New Roman" w:hAnsi="Times New Roman" w:cs="Times New Roman"/>
          <w:sz w:val="24"/>
          <w:szCs w:val="24"/>
          <w:lang w:eastAsia="pl-PL"/>
        </w:rPr>
        <w:t xml:space="preserve">Wobec powyższego patroni praktyk powinni zadbać, aby aplikanci w czasie praktyk mieli możliwość zapoznania się z praktyczną stroną pracy </w:t>
      </w:r>
      <w:r>
        <w:rPr>
          <w:rFonts w:ascii="Times New Roman" w:eastAsia="Times New Roman" w:hAnsi="Times New Roman" w:cs="Times New Roman"/>
          <w:sz w:val="24"/>
          <w:szCs w:val="24"/>
          <w:lang w:eastAsia="pl-PL"/>
        </w:rPr>
        <w:t xml:space="preserve">prokuratora </w:t>
      </w:r>
      <w:r w:rsidRPr="00835DA5">
        <w:rPr>
          <w:rFonts w:ascii="Times New Roman" w:eastAsia="Times New Roman" w:hAnsi="Times New Roman" w:cs="Times New Roman"/>
          <w:sz w:val="24"/>
          <w:szCs w:val="24"/>
          <w:lang w:eastAsia="pl-PL"/>
        </w:rPr>
        <w:t xml:space="preserve">w zakresie objętym tematyką zjazdu, a w szczególności w aspekcie nabycia umiejętności formalnej </w:t>
      </w:r>
      <w:r>
        <w:rPr>
          <w:rFonts w:ascii="Times New Roman" w:eastAsia="Times New Roman" w:hAnsi="Times New Roman" w:cs="Times New Roman"/>
          <w:sz w:val="24"/>
          <w:szCs w:val="24"/>
          <w:lang w:eastAsia="pl-PL"/>
        </w:rPr>
        <w:br/>
      </w:r>
      <w:r w:rsidRPr="00835DA5">
        <w:rPr>
          <w:rFonts w:ascii="Times New Roman" w:eastAsia="Times New Roman" w:hAnsi="Times New Roman" w:cs="Times New Roman"/>
          <w:sz w:val="24"/>
          <w:szCs w:val="24"/>
          <w:lang w:eastAsia="pl-PL"/>
        </w:rPr>
        <w:t xml:space="preserve">i merytorycznej oceny </w:t>
      </w:r>
      <w:r>
        <w:rPr>
          <w:rFonts w:ascii="Times New Roman" w:eastAsia="Times New Roman" w:hAnsi="Times New Roman" w:cs="Times New Roman"/>
          <w:sz w:val="24"/>
          <w:szCs w:val="24"/>
          <w:lang w:eastAsia="pl-PL"/>
        </w:rPr>
        <w:t xml:space="preserve">materiału dowodowego i sporządzenia </w:t>
      </w:r>
      <w:r w:rsidRPr="00835DA5">
        <w:rPr>
          <w:rFonts w:ascii="Times New Roman" w:eastAsia="Times New Roman" w:hAnsi="Times New Roman" w:cs="Times New Roman"/>
          <w:sz w:val="24"/>
          <w:szCs w:val="24"/>
          <w:lang w:eastAsia="pl-PL"/>
        </w:rPr>
        <w:t>skargi do wojewódzkiego sądu administracyjnego. Stą</w:t>
      </w:r>
      <w:r>
        <w:rPr>
          <w:rFonts w:ascii="Times New Roman" w:eastAsia="Times New Roman" w:hAnsi="Times New Roman" w:cs="Times New Roman"/>
          <w:sz w:val="24"/>
          <w:szCs w:val="24"/>
          <w:lang w:eastAsia="pl-PL"/>
        </w:rPr>
        <w:t xml:space="preserve">d też przedmiotem praktyk po 30 </w:t>
      </w:r>
      <w:r w:rsidRPr="00835DA5">
        <w:rPr>
          <w:rFonts w:ascii="Times New Roman" w:eastAsia="Times New Roman" w:hAnsi="Times New Roman" w:cs="Times New Roman"/>
          <w:sz w:val="24"/>
          <w:szCs w:val="24"/>
          <w:lang w:eastAsia="pl-PL"/>
        </w:rPr>
        <w:t xml:space="preserve">zjeździe aplikacji </w:t>
      </w:r>
      <w:r>
        <w:rPr>
          <w:rFonts w:ascii="Times New Roman" w:eastAsia="Times New Roman" w:hAnsi="Times New Roman" w:cs="Times New Roman"/>
          <w:sz w:val="24"/>
          <w:szCs w:val="24"/>
          <w:lang w:eastAsia="pl-PL"/>
        </w:rPr>
        <w:t xml:space="preserve">uzupełniającej </w:t>
      </w:r>
      <w:r w:rsidRPr="00835DA5">
        <w:rPr>
          <w:rFonts w:ascii="Times New Roman" w:eastAsia="Times New Roman" w:hAnsi="Times New Roman" w:cs="Times New Roman"/>
          <w:sz w:val="24"/>
          <w:szCs w:val="24"/>
          <w:lang w:eastAsia="pl-PL"/>
        </w:rPr>
        <w:t>prokuratorskiej powinno w szczególności być:</w:t>
      </w:r>
      <w:r w:rsidRPr="004A20F9">
        <w:rPr>
          <w:rFonts w:ascii="Times New Roman" w:eastAsia="Times New Roman" w:hAnsi="Times New Roman" w:cs="Times New Roman"/>
          <w:sz w:val="24"/>
          <w:szCs w:val="24"/>
          <w:lang w:eastAsia="pl-PL"/>
        </w:rPr>
        <w:t xml:space="preserve"> </w:t>
      </w:r>
    </w:p>
    <w:p w14:paraId="358E5167" w14:textId="77777777" w:rsidR="0073283F" w:rsidRPr="004A20F9" w:rsidRDefault="0073283F" w:rsidP="0073283F">
      <w:pPr>
        <w:spacing w:after="0" w:line="360" w:lineRule="auto"/>
        <w:ind w:firstLine="708"/>
        <w:jc w:val="both"/>
        <w:rPr>
          <w:rFonts w:ascii="Times New Roman" w:eastAsia="Times New Roman" w:hAnsi="Times New Roman" w:cs="Times New Roman"/>
          <w:sz w:val="24"/>
          <w:szCs w:val="24"/>
          <w:lang w:eastAsia="pl-PL"/>
        </w:rPr>
      </w:pPr>
      <w:r w:rsidRPr="004A20F9">
        <w:rPr>
          <w:rFonts w:ascii="Times New Roman" w:eastAsia="Times New Roman" w:hAnsi="Times New Roman" w:cs="Times New Roman"/>
          <w:sz w:val="24"/>
          <w:szCs w:val="24"/>
          <w:lang w:eastAsia="pl-PL"/>
        </w:rPr>
        <w:t xml:space="preserve">- zapoznanie się z pracą </w:t>
      </w:r>
      <w:r>
        <w:rPr>
          <w:rFonts w:ascii="Times New Roman" w:eastAsia="Times New Roman" w:hAnsi="Times New Roman" w:cs="Times New Roman"/>
          <w:sz w:val="24"/>
          <w:szCs w:val="24"/>
          <w:lang w:eastAsia="pl-PL"/>
        </w:rPr>
        <w:t>prokuratorów wykonujących zadania z zakresu prawa administracyjnego</w:t>
      </w:r>
      <w:r w:rsidRPr="004A20F9">
        <w:rPr>
          <w:rFonts w:ascii="Times New Roman" w:eastAsia="Times New Roman" w:hAnsi="Times New Roman" w:cs="Times New Roman"/>
          <w:sz w:val="24"/>
          <w:szCs w:val="24"/>
          <w:lang w:eastAsia="pl-PL"/>
        </w:rPr>
        <w:t xml:space="preserve">; </w:t>
      </w:r>
    </w:p>
    <w:p w14:paraId="2FD5A1BA" w14:textId="77777777" w:rsidR="0073283F" w:rsidRPr="00835DA5" w:rsidRDefault="0073283F" w:rsidP="0073283F">
      <w:pPr>
        <w:spacing w:after="0" w:line="360" w:lineRule="auto"/>
        <w:ind w:firstLine="708"/>
        <w:jc w:val="both"/>
        <w:rPr>
          <w:rFonts w:ascii="Times New Roman" w:eastAsia="Times New Roman" w:hAnsi="Times New Roman" w:cs="Times New Roman"/>
          <w:sz w:val="24"/>
          <w:szCs w:val="24"/>
          <w:lang w:eastAsia="pl-PL"/>
        </w:rPr>
      </w:pPr>
      <w:r w:rsidRPr="004A20F9">
        <w:rPr>
          <w:rFonts w:ascii="Times New Roman" w:eastAsia="Times New Roman" w:hAnsi="Times New Roman" w:cs="Times New Roman"/>
          <w:sz w:val="24"/>
          <w:szCs w:val="24"/>
          <w:lang w:eastAsia="pl-PL"/>
        </w:rPr>
        <w:t xml:space="preserve">- </w:t>
      </w:r>
      <w:r w:rsidRPr="00835DA5">
        <w:rPr>
          <w:rFonts w:ascii="Times New Roman" w:eastAsia="Times New Roman" w:hAnsi="Times New Roman" w:cs="Times New Roman"/>
          <w:sz w:val="24"/>
          <w:szCs w:val="24"/>
          <w:lang w:eastAsia="pl-PL"/>
        </w:rPr>
        <w:t>analiza akt spraw</w:t>
      </w:r>
      <w:r>
        <w:rPr>
          <w:rFonts w:ascii="Times New Roman" w:eastAsia="Times New Roman" w:hAnsi="Times New Roman" w:cs="Times New Roman"/>
          <w:sz w:val="24"/>
          <w:szCs w:val="24"/>
          <w:lang w:eastAsia="pl-PL"/>
        </w:rPr>
        <w:t xml:space="preserve"> administracyjnych oraz sporządzanie projektów skarg na akty normatywne organów samorządu terytorialnego</w:t>
      </w:r>
      <w:r w:rsidRPr="00835DA5">
        <w:rPr>
          <w:rFonts w:ascii="Times New Roman" w:eastAsia="Times New Roman" w:hAnsi="Times New Roman" w:cs="Times New Roman"/>
          <w:sz w:val="24"/>
          <w:szCs w:val="24"/>
          <w:lang w:eastAsia="pl-PL"/>
        </w:rPr>
        <w:t>;</w:t>
      </w:r>
    </w:p>
    <w:p w14:paraId="31AA3716" w14:textId="77777777" w:rsidR="0073283F" w:rsidRPr="00835DA5" w:rsidRDefault="0073283F" w:rsidP="0073283F">
      <w:pPr>
        <w:spacing w:after="0" w:line="360" w:lineRule="auto"/>
        <w:ind w:firstLine="708"/>
        <w:jc w:val="both"/>
        <w:rPr>
          <w:rFonts w:ascii="Times New Roman" w:eastAsia="Times New Roman" w:hAnsi="Times New Roman" w:cs="Times New Roman"/>
          <w:sz w:val="24"/>
          <w:szCs w:val="24"/>
          <w:lang w:eastAsia="pl-PL"/>
        </w:rPr>
      </w:pPr>
      <w:r w:rsidRPr="00835DA5">
        <w:rPr>
          <w:rFonts w:ascii="Times New Roman" w:eastAsia="Times New Roman" w:hAnsi="Times New Roman" w:cs="Times New Roman"/>
          <w:sz w:val="24"/>
          <w:szCs w:val="24"/>
          <w:lang w:eastAsia="pl-PL"/>
        </w:rPr>
        <w:lastRenderedPageBreak/>
        <w:t xml:space="preserve">- uczestnictwo w rozprawach i posiedzeniach </w:t>
      </w:r>
      <w:r>
        <w:rPr>
          <w:rFonts w:ascii="Times New Roman" w:eastAsia="Times New Roman" w:hAnsi="Times New Roman" w:cs="Times New Roman"/>
          <w:sz w:val="24"/>
          <w:szCs w:val="24"/>
          <w:lang w:eastAsia="pl-PL"/>
        </w:rPr>
        <w:t xml:space="preserve">w sprawach, w których prokurator wniósł  skargę lub  wniosek o stwierdzenie nieważności </w:t>
      </w:r>
      <w:r w:rsidRPr="00160C32">
        <w:rPr>
          <w:rFonts w:ascii="Times New Roman" w:eastAsia="Times New Roman" w:hAnsi="Times New Roman" w:cs="Times New Roman"/>
          <w:sz w:val="24"/>
          <w:szCs w:val="24"/>
          <w:lang w:eastAsia="pl-PL"/>
        </w:rPr>
        <w:t>uchwały lub zarządzenia organu samorządu terytorialnego</w:t>
      </w:r>
      <w:r>
        <w:rPr>
          <w:rFonts w:ascii="Times New Roman" w:eastAsia="Times New Roman" w:hAnsi="Times New Roman" w:cs="Times New Roman"/>
          <w:sz w:val="24"/>
          <w:szCs w:val="24"/>
          <w:lang w:eastAsia="pl-PL"/>
        </w:rPr>
        <w:t xml:space="preserve"> w trybie art. 70 ustawy o Prawo o prokuraturze;</w:t>
      </w:r>
      <w:r w:rsidRPr="00835DA5">
        <w:rPr>
          <w:rFonts w:ascii="Times New Roman" w:eastAsia="Times New Roman" w:hAnsi="Times New Roman" w:cs="Times New Roman"/>
          <w:sz w:val="24"/>
          <w:szCs w:val="24"/>
          <w:lang w:eastAsia="pl-PL"/>
        </w:rPr>
        <w:t xml:space="preserve"> </w:t>
      </w:r>
    </w:p>
    <w:p w14:paraId="6A100AA6" w14:textId="77777777" w:rsidR="0073283F" w:rsidRDefault="0073283F" w:rsidP="0073283F">
      <w:pPr>
        <w:spacing w:after="0" w:line="360" w:lineRule="auto"/>
        <w:ind w:firstLine="708"/>
        <w:jc w:val="both"/>
        <w:rPr>
          <w:rFonts w:ascii="Times New Roman" w:eastAsia="Times New Roman" w:hAnsi="Times New Roman" w:cs="Times New Roman"/>
          <w:sz w:val="24"/>
          <w:szCs w:val="24"/>
          <w:lang w:eastAsia="pl-PL"/>
        </w:rPr>
      </w:pPr>
      <w:r w:rsidRPr="004B2BA7">
        <w:rPr>
          <w:rFonts w:ascii="Times New Roman" w:eastAsia="Times New Roman" w:hAnsi="Times New Roman" w:cs="Times New Roman"/>
          <w:sz w:val="24"/>
          <w:szCs w:val="24"/>
          <w:lang w:eastAsia="pl-PL"/>
        </w:rPr>
        <w:t xml:space="preserve">Nadto aplikanci w miarę możliwości powinni uczestniczyć (również w charakterze protokolantów) w czynnościach </w:t>
      </w:r>
      <w:r>
        <w:rPr>
          <w:rFonts w:ascii="Times New Roman" w:eastAsia="Times New Roman" w:hAnsi="Times New Roman" w:cs="Times New Roman"/>
          <w:sz w:val="24"/>
          <w:szCs w:val="24"/>
          <w:lang w:eastAsia="pl-PL"/>
        </w:rPr>
        <w:t>podejmowanych patrona</w:t>
      </w:r>
      <w:r w:rsidRPr="004B2BA7">
        <w:rPr>
          <w:rFonts w:ascii="Times New Roman" w:eastAsia="Times New Roman" w:hAnsi="Times New Roman" w:cs="Times New Roman"/>
          <w:sz w:val="24"/>
          <w:szCs w:val="24"/>
          <w:lang w:eastAsia="pl-PL"/>
        </w:rPr>
        <w:t>.</w:t>
      </w:r>
    </w:p>
    <w:p w14:paraId="04758356" w14:textId="77777777" w:rsidR="0073283F" w:rsidRDefault="0073283F" w:rsidP="0073283F">
      <w:pPr>
        <w:spacing w:after="0" w:line="360" w:lineRule="auto"/>
        <w:ind w:firstLine="708"/>
        <w:jc w:val="both"/>
        <w:rPr>
          <w:rFonts w:ascii="Times New Roman" w:eastAsia="Times New Roman" w:hAnsi="Times New Roman" w:cs="Times New Roman"/>
          <w:sz w:val="24"/>
          <w:szCs w:val="24"/>
          <w:lang w:eastAsia="pl-PL"/>
        </w:rPr>
      </w:pPr>
    </w:p>
    <w:p w14:paraId="2B3C257A" w14:textId="77777777" w:rsidR="0073283F" w:rsidRDefault="0073283F" w:rsidP="0073283F">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Powyższe nie wyklucza powierzania aplikantom również innych zadań wynikających z normalnego toku pracy prokuratora – zwłaszcza takich, z którymi dotychczas jeszcze się nie zetknęli. Zadania te jednak mogą mieć wyłącznie charakter uzupełniający </w:t>
      </w:r>
      <w:r>
        <w:rPr>
          <w:rFonts w:ascii="Times New Roman" w:eastAsia="Times New Roman" w:hAnsi="Times New Roman" w:cs="Times New Roman"/>
          <w:sz w:val="24"/>
          <w:szCs w:val="24"/>
          <w:lang w:eastAsia="pl-PL"/>
        </w:rPr>
        <w:br/>
        <w:t xml:space="preserve">w stosunku do przedmiotu praktyki określonego w programie aplikacji. Patroni zadbać powinni, by nie przeważały one w trakcie praktyki oraz aby aplikanci mogli pracować także na materiałach (sprawach), którymi patron formalnie się nie zajmuje, zwłaszcza gdyby miało to umożliwić im poznanie szerokiego zakresu zagadnień związanych nie tylko bezpośrednio </w:t>
      </w:r>
      <w:r>
        <w:rPr>
          <w:rFonts w:ascii="Times New Roman" w:eastAsia="Times New Roman" w:hAnsi="Times New Roman" w:cs="Times New Roman"/>
          <w:sz w:val="24"/>
          <w:szCs w:val="24"/>
          <w:lang w:eastAsia="pl-PL"/>
        </w:rPr>
        <w:br/>
        <w:t>z tematyką poprzedzającego zjazdu, ale też wpływających na podniesienie ich ogólnych umiejętności. Służyć ma temu również zapoznanie aplikantów z zasadami biurowości, w tym prowadzenia urządzeń ewidencyjnych.</w:t>
      </w:r>
    </w:p>
    <w:p w14:paraId="3D768BBE" w14:textId="6750E5F5" w:rsidR="0073283F" w:rsidRDefault="0073283F" w:rsidP="0073283F">
      <w:pPr>
        <w:spacing w:after="0" w:line="360" w:lineRule="auto"/>
        <w:ind w:firstLine="708"/>
        <w:jc w:val="both"/>
        <w:rPr>
          <w:rFonts w:ascii="Times New Roman" w:eastAsia="Times New Roman" w:hAnsi="Times New Roman" w:cs="Times New Roman"/>
          <w:sz w:val="24"/>
          <w:szCs w:val="24"/>
          <w:lang w:eastAsia="pl-PL"/>
        </w:rPr>
      </w:pPr>
      <w:r>
        <w:rPr>
          <w:rFonts w:ascii="Times New Roman" w:hAnsi="Times New Roman" w:cs="Times New Roman"/>
          <w:b/>
          <w:sz w:val="24"/>
          <w:szCs w:val="24"/>
        </w:rPr>
        <w:t xml:space="preserve">Końcowo uprzejmie informuję, że przedmiotem sprawdzianu wiedzy, który aplikanci będą pisać po odbyciu praktyk po 30 zjeździe, tj. w dniu 3 grudnia 2022 r. będzie sporządzenie projektu skargi do wojewódzkiego sądu administracyjnego na uchwałę lub zarządzenie organu jednostki samorządu terytorialnego albo rozporządzenie wojewody. </w:t>
      </w:r>
      <w:r>
        <w:rPr>
          <w:rFonts w:ascii="Times New Roman" w:hAnsi="Times New Roman" w:cs="Times New Roman"/>
          <w:sz w:val="24"/>
          <w:szCs w:val="24"/>
        </w:rPr>
        <w:t>Dlatego ważnym jest, aby aplikanci podczas praktyk opanowali tę umiejętność w jak najwyższym stopniu.</w:t>
      </w:r>
    </w:p>
    <w:p w14:paraId="7D9DE4E0" w14:textId="77777777" w:rsidR="0073283F" w:rsidRDefault="0073283F" w:rsidP="005303B9">
      <w:pPr>
        <w:spacing w:after="0" w:line="360" w:lineRule="auto"/>
        <w:ind w:firstLine="708"/>
        <w:jc w:val="both"/>
        <w:rPr>
          <w:rFonts w:ascii="Times New Roman" w:eastAsia="Times New Roman" w:hAnsi="Times New Roman"/>
          <w:sz w:val="24"/>
          <w:szCs w:val="24"/>
        </w:rPr>
      </w:pPr>
    </w:p>
    <w:p w14:paraId="43B756FE" w14:textId="77777777" w:rsidR="005303B9" w:rsidRDefault="005303B9" w:rsidP="005303B9">
      <w:pPr>
        <w:suppressAutoHyphens/>
        <w:spacing w:before="120" w:after="120"/>
        <w:ind w:left="4395" w:firstLine="708"/>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Kierownik</w:t>
      </w:r>
    </w:p>
    <w:p w14:paraId="6B912C9B" w14:textId="77777777" w:rsidR="005303B9" w:rsidRDefault="005303B9" w:rsidP="005303B9">
      <w:pPr>
        <w:suppressAutoHyphens/>
        <w:spacing w:before="120" w:after="120"/>
        <w:ind w:left="4395" w:firstLine="708"/>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Działu Dydaktycznego OAP</w:t>
      </w:r>
    </w:p>
    <w:p w14:paraId="3B692A73" w14:textId="77777777" w:rsidR="005303B9" w:rsidRDefault="005303B9" w:rsidP="005303B9">
      <w:pPr>
        <w:suppressAutoHyphens/>
        <w:spacing w:before="120" w:after="120"/>
        <w:ind w:left="4395"/>
        <w:jc w:val="center"/>
        <w:rPr>
          <w:rFonts w:ascii="Times New Roman" w:eastAsia="Times New Roman" w:hAnsi="Times New Roman" w:cs="Times New Roman"/>
          <w:b/>
          <w:sz w:val="24"/>
          <w:szCs w:val="24"/>
          <w:lang w:eastAsia="zh-CN"/>
        </w:rPr>
      </w:pPr>
    </w:p>
    <w:p w14:paraId="4C8E463C" w14:textId="77777777" w:rsidR="005303B9" w:rsidRDefault="005303B9" w:rsidP="005303B9">
      <w:pPr>
        <w:suppressAutoHyphens/>
        <w:spacing w:before="120" w:after="120"/>
        <w:ind w:left="4395" w:firstLine="708"/>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Marta Zin</w:t>
      </w:r>
    </w:p>
    <w:p w14:paraId="5F21793C" w14:textId="5601B498" w:rsidR="00B847AD" w:rsidRPr="00EA24CC" w:rsidRDefault="005303B9" w:rsidP="00EA24CC">
      <w:pPr>
        <w:suppressAutoHyphens/>
        <w:spacing w:before="120" w:after="120"/>
        <w:ind w:left="4395" w:firstLine="708"/>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prokurator</w:t>
      </w:r>
    </w:p>
    <w:sectPr w:rsidR="00B847AD" w:rsidRPr="00EA24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67B1"/>
    <w:multiLevelType w:val="hybridMultilevel"/>
    <w:tmpl w:val="6B981A1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44339F0"/>
    <w:multiLevelType w:val="hybridMultilevel"/>
    <w:tmpl w:val="1A6AAC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5714F07"/>
    <w:multiLevelType w:val="hybridMultilevel"/>
    <w:tmpl w:val="D4BA72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204B0336"/>
    <w:multiLevelType w:val="hybridMultilevel"/>
    <w:tmpl w:val="5EF2E5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2E95140"/>
    <w:multiLevelType w:val="hybridMultilevel"/>
    <w:tmpl w:val="B6569054"/>
    <w:lvl w:ilvl="0" w:tplc="220463BC">
      <w:start w:val="1"/>
      <w:numFmt w:val="decimal"/>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219063F"/>
    <w:multiLevelType w:val="hybridMultilevel"/>
    <w:tmpl w:val="159A25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4E6409F9"/>
    <w:multiLevelType w:val="hybridMultilevel"/>
    <w:tmpl w:val="E0582720"/>
    <w:lvl w:ilvl="0" w:tplc="92CE6A3C">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
    <w:nsid w:val="578B3E3B"/>
    <w:multiLevelType w:val="hybridMultilevel"/>
    <w:tmpl w:val="17F69A38"/>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596C5468"/>
    <w:multiLevelType w:val="hybridMultilevel"/>
    <w:tmpl w:val="D1FEBECE"/>
    <w:lvl w:ilvl="0" w:tplc="92AC4A04">
      <w:start w:val="1"/>
      <w:numFmt w:val="decimal"/>
      <w:lvlText w:val="%1."/>
      <w:lvlJc w:val="left"/>
      <w:pPr>
        <w:ind w:left="720" w:hanging="360"/>
      </w:pPr>
      <w:rPr>
        <w:rFonts w:hint="default"/>
        <w:b/>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FBC7468"/>
    <w:multiLevelType w:val="hybridMultilevel"/>
    <w:tmpl w:val="E946C2A8"/>
    <w:lvl w:ilvl="0" w:tplc="93A23E6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nsid w:val="62FB7181"/>
    <w:multiLevelType w:val="hybridMultilevel"/>
    <w:tmpl w:val="7F3CA51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72B71461"/>
    <w:multiLevelType w:val="hybridMultilevel"/>
    <w:tmpl w:val="DD746EB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78C318D8"/>
    <w:multiLevelType w:val="hybridMultilevel"/>
    <w:tmpl w:val="7B6A2C28"/>
    <w:lvl w:ilvl="0" w:tplc="0350634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nsid w:val="7A862896"/>
    <w:multiLevelType w:val="hybridMultilevel"/>
    <w:tmpl w:val="277E5794"/>
    <w:lvl w:ilvl="0" w:tplc="007853BE">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
  </w:num>
  <w:num w:numId="10">
    <w:abstractNumId w:val="11"/>
  </w:num>
  <w:num w:numId="11">
    <w:abstractNumId w:val="10"/>
  </w:num>
  <w:num w:numId="12">
    <w:abstractNumId w:val="8"/>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335"/>
    <w:rsid w:val="000B55C6"/>
    <w:rsid w:val="00346335"/>
    <w:rsid w:val="005303B9"/>
    <w:rsid w:val="00570E97"/>
    <w:rsid w:val="005A009D"/>
    <w:rsid w:val="005D298E"/>
    <w:rsid w:val="006023BA"/>
    <w:rsid w:val="0073283F"/>
    <w:rsid w:val="00B847AD"/>
    <w:rsid w:val="00BF57A5"/>
    <w:rsid w:val="00DC66F8"/>
    <w:rsid w:val="00DF2C16"/>
    <w:rsid w:val="00E7101B"/>
    <w:rsid w:val="00EA24CC"/>
    <w:rsid w:val="00FC4D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83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F57A5"/>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303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F57A5"/>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303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309475">
      <w:bodyDiv w:val="1"/>
      <w:marLeft w:val="0"/>
      <w:marRight w:val="0"/>
      <w:marTop w:val="0"/>
      <w:marBottom w:val="0"/>
      <w:divBdr>
        <w:top w:val="none" w:sz="0" w:space="0" w:color="auto"/>
        <w:left w:val="none" w:sz="0" w:space="0" w:color="auto"/>
        <w:bottom w:val="none" w:sz="0" w:space="0" w:color="auto"/>
        <w:right w:val="none" w:sz="0" w:space="0" w:color="auto"/>
      </w:divBdr>
    </w:div>
    <w:div w:id="1883860550">
      <w:bodyDiv w:val="1"/>
      <w:marLeft w:val="0"/>
      <w:marRight w:val="0"/>
      <w:marTop w:val="0"/>
      <w:marBottom w:val="0"/>
      <w:divBdr>
        <w:top w:val="none" w:sz="0" w:space="0" w:color="auto"/>
        <w:left w:val="none" w:sz="0" w:space="0" w:color="auto"/>
        <w:bottom w:val="none" w:sz="0" w:space="0" w:color="auto"/>
        <w:right w:val="none" w:sz="0" w:space="0" w:color="auto"/>
      </w:divBdr>
    </w:div>
    <w:div w:id="202343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766</Words>
  <Characters>4601</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Krajowa Szkoła Sądownictwa i Prokuratury</Company>
  <LinksUpToDate>false</LinksUpToDate>
  <CharactersWithSpaces>5357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Wojciech Podsiadło</dc:creator>
  <cp:lastModifiedBy>Małgorzata Daliniewska</cp:lastModifiedBy>
  <cp:revision>2</cp:revision>
  <dcterms:created xsi:type="dcterms:W3CDTF">2022-05-30T13:13:00Z</dcterms:created>
  <dcterms:modified xsi:type="dcterms:W3CDTF">2022-05-30T13:13:00Z</dcterms:modified>
</cp:coreProperties>
</file>