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68" w:rsidRDefault="00200F68" w:rsidP="00480471">
      <w:pPr>
        <w:spacing w:line="360" w:lineRule="auto"/>
      </w:pPr>
      <w:bookmarkStart w:id="0" w:name="_GoBack"/>
      <w:bookmarkEnd w:id="0"/>
      <w:r>
        <w:t>OAP-II.420.4</w:t>
      </w:r>
      <w:r w:rsidR="00480471">
        <w:t xml:space="preserve">0.2018 </w:t>
      </w:r>
      <w:r w:rsidR="00480471">
        <w:tab/>
      </w:r>
      <w:r w:rsidR="00480471">
        <w:tab/>
      </w:r>
      <w:r w:rsidR="00480471">
        <w:tab/>
      </w:r>
      <w:r w:rsidR="00480471">
        <w:tab/>
      </w:r>
      <w:r w:rsidR="00480471">
        <w:tab/>
      </w:r>
      <w:r w:rsidR="00480471">
        <w:tab/>
      </w:r>
      <w:r>
        <w:t xml:space="preserve">Kraków, dnia </w:t>
      </w:r>
      <w:r w:rsidR="00AA63C9">
        <w:t>25 stycznia 2019</w:t>
      </w:r>
      <w:r w:rsidR="00480471">
        <w:t xml:space="preserve"> r.</w:t>
      </w:r>
    </w:p>
    <w:p w:rsidR="00200F68" w:rsidRDefault="00200F68" w:rsidP="00200F68">
      <w:pPr>
        <w:spacing w:line="360" w:lineRule="auto"/>
      </w:pPr>
    </w:p>
    <w:p w:rsidR="00480471" w:rsidRDefault="00480471" w:rsidP="00480471">
      <w:pPr>
        <w:tabs>
          <w:tab w:val="left" w:pos="4820"/>
        </w:tabs>
        <w:rPr>
          <w:b/>
        </w:rPr>
      </w:pPr>
    </w:p>
    <w:p w:rsidR="00480471" w:rsidRDefault="00480471" w:rsidP="00480471">
      <w:pPr>
        <w:tabs>
          <w:tab w:val="left" w:pos="4820"/>
        </w:tabs>
        <w:rPr>
          <w:b/>
        </w:rPr>
      </w:pPr>
    </w:p>
    <w:p w:rsidR="00480471" w:rsidRDefault="00480471" w:rsidP="00480471">
      <w:pPr>
        <w:tabs>
          <w:tab w:val="left" w:pos="4820"/>
        </w:tabs>
        <w:rPr>
          <w:b/>
        </w:rPr>
      </w:pPr>
    </w:p>
    <w:p w:rsidR="00480471" w:rsidRDefault="00480471" w:rsidP="00480471">
      <w:pPr>
        <w:tabs>
          <w:tab w:val="left" w:pos="4820"/>
        </w:tabs>
        <w:rPr>
          <w:b/>
        </w:rPr>
      </w:pPr>
      <w:r>
        <w:rPr>
          <w:b/>
        </w:rPr>
        <w:tab/>
        <w:t>Do</w:t>
      </w:r>
      <w:r w:rsidR="00AA63C9">
        <w:rPr>
          <w:b/>
        </w:rPr>
        <w:t xml:space="preserve"> Państwa</w:t>
      </w:r>
    </w:p>
    <w:p w:rsidR="00480471" w:rsidRDefault="00480471" w:rsidP="00480471">
      <w:pPr>
        <w:tabs>
          <w:tab w:val="left" w:pos="4820"/>
        </w:tabs>
        <w:rPr>
          <w:b/>
        </w:rPr>
      </w:pPr>
      <w:r>
        <w:rPr>
          <w:b/>
        </w:rPr>
        <w:tab/>
      </w:r>
      <w:r w:rsidR="00AA63C9">
        <w:rPr>
          <w:b/>
        </w:rPr>
        <w:t>P</w:t>
      </w:r>
      <w:r>
        <w:rPr>
          <w:b/>
        </w:rPr>
        <w:t xml:space="preserve">atronów koordynatorów </w:t>
      </w:r>
    </w:p>
    <w:p w:rsidR="00480471" w:rsidRDefault="00480471" w:rsidP="00480471">
      <w:pPr>
        <w:tabs>
          <w:tab w:val="left" w:pos="4820"/>
        </w:tabs>
        <w:rPr>
          <w:b/>
        </w:rPr>
      </w:pPr>
      <w:r>
        <w:rPr>
          <w:b/>
        </w:rPr>
        <w:tab/>
        <w:t xml:space="preserve">oraz </w:t>
      </w:r>
      <w:r w:rsidR="00AA63C9">
        <w:rPr>
          <w:b/>
        </w:rPr>
        <w:t>P</w:t>
      </w:r>
      <w:r>
        <w:rPr>
          <w:b/>
        </w:rPr>
        <w:t xml:space="preserve">atronów praktyk </w:t>
      </w:r>
    </w:p>
    <w:p w:rsidR="00200F68" w:rsidRDefault="00480471" w:rsidP="00480471">
      <w:pPr>
        <w:tabs>
          <w:tab w:val="left" w:pos="4820"/>
        </w:tabs>
        <w:rPr>
          <w:b/>
        </w:rPr>
      </w:pPr>
      <w:r>
        <w:rPr>
          <w:b/>
        </w:rPr>
        <w:tab/>
      </w:r>
      <w:r w:rsidR="00200F68">
        <w:rPr>
          <w:b/>
        </w:rPr>
        <w:t>aplikantów aplikacji prokuratorskiej</w:t>
      </w:r>
    </w:p>
    <w:p w:rsidR="00200F68" w:rsidRDefault="00200F68" w:rsidP="00200F68">
      <w:pPr>
        <w:ind w:left="4248"/>
        <w:rPr>
          <w:b/>
        </w:rPr>
      </w:pPr>
    </w:p>
    <w:p w:rsidR="00200F68" w:rsidRDefault="00200F68" w:rsidP="00200F68">
      <w:pPr>
        <w:spacing w:line="360" w:lineRule="auto"/>
        <w:jc w:val="both"/>
      </w:pPr>
    </w:p>
    <w:p w:rsidR="00480471" w:rsidRDefault="00480471" w:rsidP="00200F68">
      <w:pPr>
        <w:spacing w:line="360" w:lineRule="auto"/>
        <w:jc w:val="both"/>
        <w:rPr>
          <w:b/>
          <w:i/>
        </w:rPr>
      </w:pPr>
    </w:p>
    <w:p w:rsidR="00200F68" w:rsidRDefault="00200F68" w:rsidP="00200F68">
      <w:pPr>
        <w:spacing w:line="360" w:lineRule="auto"/>
        <w:jc w:val="both"/>
        <w:rPr>
          <w:b/>
          <w:i/>
        </w:rPr>
      </w:pPr>
      <w:r>
        <w:rPr>
          <w:b/>
          <w:i/>
        </w:rPr>
        <w:t xml:space="preserve">Dotyczy praktyk aplikantów </w:t>
      </w:r>
      <w:r w:rsidR="00480471">
        <w:rPr>
          <w:b/>
          <w:i/>
        </w:rPr>
        <w:t xml:space="preserve">7. rocznika </w:t>
      </w:r>
      <w:r>
        <w:rPr>
          <w:b/>
          <w:i/>
        </w:rPr>
        <w:t xml:space="preserve">aplikacji prokuratorskiej </w:t>
      </w:r>
      <w:r w:rsidR="00480471">
        <w:rPr>
          <w:b/>
          <w:i/>
        </w:rPr>
        <w:t>po XXII z</w:t>
      </w:r>
      <w:r>
        <w:rPr>
          <w:b/>
          <w:i/>
        </w:rPr>
        <w:t>jeździe</w:t>
      </w:r>
    </w:p>
    <w:p w:rsidR="00200F68" w:rsidRDefault="00200F68" w:rsidP="00200F68">
      <w:pPr>
        <w:spacing w:line="360" w:lineRule="auto"/>
        <w:jc w:val="both"/>
        <w:rPr>
          <w:i/>
        </w:rPr>
      </w:pPr>
    </w:p>
    <w:p w:rsidR="00200F68" w:rsidRDefault="00200F68" w:rsidP="00200F68">
      <w:pPr>
        <w:spacing w:line="360" w:lineRule="auto"/>
        <w:ind w:firstLine="708"/>
        <w:jc w:val="both"/>
      </w:pPr>
      <w:r>
        <w:t>Na podstawie § 5 zarządzenia Dyrektora Krajowej Szkoły Sądownictwa i Prokuratury w Krakowie Nr 131/2010 z dnia 19 listopada 2010 roku w sprawie szczegółowych zasad odbywania praktyki przez aplikantów aplikacji sędziowskiej, prokuratorskiej oraz ogólnej (tekst ujednolicony) uprzejmie przedstawiam szczegółowy zakres tematyczny, który winien być przedmiotem praktyk aplikantów aplikacji p</w:t>
      </w:r>
      <w:r w:rsidR="001E6978">
        <w:t>rokuratorskiej, odbywanych od 1 kwietnia do 2 maja 2019</w:t>
      </w:r>
      <w:r w:rsidR="007A6C45">
        <w:t xml:space="preserve"> roku w prokuraturach okręgowych </w:t>
      </w:r>
      <w:r w:rsidR="00EE6BD7">
        <w:t>–</w:t>
      </w:r>
      <w:r>
        <w:t xml:space="preserve"> referatach do spraw cywilnych, administracyjnych i nieletnich. Głównym celem praktyk jest zrealizowanie w tym zakresie założeń programowych, opracowanych przez Krajową Szkołę Sądownictwa i </w:t>
      </w:r>
      <w:r w:rsidR="00233660">
        <w:t>Prokuratury dla aplikantów XXII z</w:t>
      </w:r>
      <w:r>
        <w:t>jazdu aplikacji prokuratorskiej. Każdorazowo praktyka winna utrwalić wiedzę zdobytą podczas bezpośrednio poprzedzających ją zajęć, p</w:t>
      </w:r>
      <w:r w:rsidR="000F0D06">
        <w:t>rowadzonych w ramach z</w:t>
      </w:r>
      <w:r>
        <w:t>jazdu.</w:t>
      </w:r>
    </w:p>
    <w:p w:rsidR="0044243E" w:rsidRDefault="002640B9" w:rsidP="0044243E">
      <w:pPr>
        <w:spacing w:line="360" w:lineRule="auto"/>
        <w:ind w:firstLine="708"/>
        <w:jc w:val="both"/>
      </w:pPr>
      <w:r>
        <w:t>Przedmiotem XXII zjazdu aplikacji prokuratorskiej, który odbędzie się w dniach od 25</w:t>
      </w:r>
      <w:r w:rsidR="000614D0">
        <w:t> </w:t>
      </w:r>
      <w:r>
        <w:t>do 29 marca 2019 roku, są następujące zagadnienia:</w:t>
      </w:r>
    </w:p>
    <w:p w:rsidR="00152D78" w:rsidRPr="00453274" w:rsidRDefault="0062243D" w:rsidP="00453274">
      <w:pPr>
        <w:widowControl w:val="0"/>
        <w:numPr>
          <w:ilvl w:val="0"/>
          <w:numId w:val="9"/>
        </w:numPr>
        <w:spacing w:line="360" w:lineRule="auto"/>
        <w:jc w:val="both"/>
        <w:rPr>
          <w:kern w:val="144"/>
        </w:rPr>
      </w:pPr>
      <w:r>
        <w:t>Udział prokuratora w postę</w:t>
      </w:r>
      <w:r w:rsidR="002640B9" w:rsidRPr="0062243D">
        <w:t>powaniu cywilnym, a przede wszystkim p</w:t>
      </w:r>
      <w:r>
        <w:t xml:space="preserve">odstawy, </w:t>
      </w:r>
      <w:r w:rsidR="002640B9" w:rsidRPr="0062243D">
        <w:t>przesłanki i formy</w:t>
      </w:r>
      <w:r w:rsidR="00126894">
        <w:t xml:space="preserve"> tego</w:t>
      </w:r>
      <w:r w:rsidR="002640B9" w:rsidRPr="0062243D">
        <w:t xml:space="preserve"> udziału. Procesowa i materialno</w:t>
      </w:r>
      <w:r>
        <w:t>-</w:t>
      </w:r>
      <w:r w:rsidR="002640B9" w:rsidRPr="0062243D">
        <w:t>prawna legitymacja pro</w:t>
      </w:r>
      <w:r>
        <w:t xml:space="preserve">kuratora do wszczęcia </w:t>
      </w:r>
      <w:r w:rsidR="00152D78" w:rsidRPr="00453274">
        <w:rPr>
          <w:kern w:val="144"/>
        </w:rPr>
        <w:t>postępowań cywilnych. Powództwa wytaczane przeciwko wszystkim podmiotom stosunku prawnego oraz powództwa prokuratora w sprawach niemajątkowych z zakresu prawa rodzinnego. Inicjowanie postępowań nieprocesowych. Powaga rzeczy osądzonej w sprawie z powództwa prokuratora. Wst</w:t>
      </w:r>
      <w:r w:rsidR="00FC60A4" w:rsidRPr="00453274">
        <w:rPr>
          <w:kern w:val="144"/>
        </w:rPr>
        <w:t>ąpie</w:t>
      </w:r>
      <w:r w:rsidR="00152D78" w:rsidRPr="00453274">
        <w:rPr>
          <w:kern w:val="144"/>
        </w:rPr>
        <w:t xml:space="preserve">nie prokuratora do postępowań cywilnych wszczętych przez inne podmioty </w:t>
      </w:r>
      <w:r w:rsidR="00152D78" w:rsidRPr="00453274">
        <w:rPr>
          <w:kern w:val="144"/>
        </w:rPr>
        <w:lastRenderedPageBreak/>
        <w:t>(w</w:t>
      </w:r>
      <w:r w:rsidR="00126894" w:rsidRPr="00453274">
        <w:rPr>
          <w:kern w:val="144"/>
        </w:rPr>
        <w:t> </w:t>
      </w:r>
      <w:r w:rsidR="00152D78" w:rsidRPr="00453274">
        <w:rPr>
          <w:kern w:val="144"/>
        </w:rPr>
        <w:t xml:space="preserve">szczególności obowiązki sądu, pozycja prokuratora i jej procesowe konsekwencje, odstąpienie od udziału w sprawie). Postępowanie cywilne prowadzone z udziałem prokuratora, a także zasady i tryb zawiadamiania prokuratora przez sąd o toczących się postępowaniach cywilnych. Regulacje szczególne </w:t>
      </w:r>
      <w:r w:rsidR="00EE6BD7" w:rsidRPr="00453274">
        <w:rPr>
          <w:kern w:val="144"/>
        </w:rPr>
        <w:t>–</w:t>
      </w:r>
      <w:r w:rsidR="00152D78" w:rsidRPr="00453274">
        <w:rPr>
          <w:kern w:val="144"/>
        </w:rPr>
        <w:t xml:space="preserve"> przepisy Działu XI rozporządzenia Ministra Sprawiedliwości </w:t>
      </w:r>
      <w:r w:rsidR="00453274" w:rsidRPr="00453274">
        <w:rPr>
          <w:kern w:val="144"/>
        </w:rPr>
        <w:t>z dnia 7 kwietnia 2016 r. Regulamin wewnętrznego urzędowania powszechnych jednostek organizacyjnych prokuratury</w:t>
      </w:r>
      <w:r w:rsidR="00152D78" w:rsidRPr="00453274">
        <w:rPr>
          <w:kern w:val="144"/>
        </w:rPr>
        <w:t>. Ponadto przedmiotem zjazdu jest sporządzanie projektów pozwów w sprawach cywilnych (w szczególności o stwierdzenie nieważności czynności prawnych skutkując</w:t>
      </w:r>
      <w:r w:rsidR="00650881" w:rsidRPr="00453274">
        <w:rPr>
          <w:kern w:val="144"/>
        </w:rPr>
        <w:t>ych</w:t>
      </w:r>
      <w:r w:rsidR="00152D78" w:rsidRPr="00453274">
        <w:rPr>
          <w:kern w:val="144"/>
        </w:rPr>
        <w:t xml:space="preserve"> przeniesieniem własności, obciążenie własności, odszkodowanie czy zadośćuczynienie za uszkodzenie ciała lub rozstrój zdrowia), a także bezpodstawne wzbogacenie </w:t>
      </w:r>
      <w:r w:rsidR="00EE6BD7" w:rsidRPr="00453274">
        <w:rPr>
          <w:kern w:val="144"/>
        </w:rPr>
        <w:t>–</w:t>
      </w:r>
      <w:r w:rsidR="00152D78" w:rsidRPr="00453274">
        <w:rPr>
          <w:kern w:val="144"/>
        </w:rPr>
        <w:t xml:space="preserve"> ze szczególnym uwzględnieniem orzeczenia przepadku świadczenia lub jego wartości na rzecz Skarbu Państwa w oparciu o art. 412 k.c. z uwzględnieniem regulacji zawartych w art. 45 k.k. </w:t>
      </w:r>
      <w:r w:rsidR="00DC6175" w:rsidRPr="00453274">
        <w:rPr>
          <w:kern w:val="144"/>
        </w:rPr>
        <w:t>Na zjeździe omawiana jest także problematyka środków odwoławczych (apelacja, zażalenie) w postępowaniu cywilnym, nadzwyczajnych środków</w:t>
      </w:r>
      <w:r w:rsidR="00152D78" w:rsidRPr="00453274">
        <w:rPr>
          <w:kern w:val="144"/>
        </w:rPr>
        <w:t xml:space="preserve"> zaskarżenia (skarga kasacyjna i skarga o stwierdzenie niezgodności z pr</w:t>
      </w:r>
      <w:r w:rsidR="00DC6175" w:rsidRPr="00453274">
        <w:rPr>
          <w:kern w:val="144"/>
        </w:rPr>
        <w:t>awem prawomocnego orzeczenia), a także wznowienia</w:t>
      </w:r>
      <w:r w:rsidR="00152D78" w:rsidRPr="00453274">
        <w:rPr>
          <w:kern w:val="144"/>
        </w:rPr>
        <w:t xml:space="preserve"> postępowania procesowego.</w:t>
      </w:r>
    </w:p>
    <w:p w:rsidR="00152D78" w:rsidRPr="00DC6175" w:rsidRDefault="0020477A" w:rsidP="00DC6175">
      <w:pPr>
        <w:widowControl w:val="0"/>
        <w:numPr>
          <w:ilvl w:val="0"/>
          <w:numId w:val="9"/>
        </w:numPr>
        <w:spacing w:line="360" w:lineRule="auto"/>
        <w:jc w:val="both"/>
        <w:rPr>
          <w:kern w:val="144"/>
        </w:rPr>
      </w:pPr>
      <w:r w:rsidRPr="0020477A">
        <w:t>Wybrane zagadnienia związane z udziałem prok</w:t>
      </w:r>
      <w:r>
        <w:t>u</w:t>
      </w:r>
      <w:r w:rsidR="00126894">
        <w:t>ratora w postępowaniu cywilnym:</w:t>
      </w:r>
      <w:r w:rsidR="00DC6175">
        <w:t xml:space="preserve"> z</w:t>
      </w:r>
      <w:r w:rsidR="00152D78" w:rsidRPr="00152D78">
        <w:rPr>
          <w:kern w:val="144"/>
        </w:rPr>
        <w:t>dolność prawna i z</w:t>
      </w:r>
      <w:r w:rsidR="00DC6175">
        <w:rPr>
          <w:kern w:val="144"/>
        </w:rPr>
        <w:t>dolność do czynności prawnych, n</w:t>
      </w:r>
      <w:r w:rsidR="00152D78" w:rsidRPr="00152D78">
        <w:rPr>
          <w:kern w:val="144"/>
        </w:rPr>
        <w:t>ieważność</w:t>
      </w:r>
      <w:r w:rsidR="00EE6BD7">
        <w:rPr>
          <w:kern w:val="144"/>
        </w:rPr>
        <w:t xml:space="preserve"> i</w:t>
      </w:r>
      <w:r w:rsidR="00152D78" w:rsidRPr="00152D78">
        <w:rPr>
          <w:kern w:val="144"/>
        </w:rPr>
        <w:t xml:space="preserve"> bezs</w:t>
      </w:r>
      <w:r w:rsidR="00DC6175">
        <w:rPr>
          <w:kern w:val="144"/>
        </w:rPr>
        <w:t>kuteczność czynności prawnych, forma czynności prawnych</w:t>
      </w:r>
      <w:r w:rsidR="00DC6175" w:rsidRPr="00DC6175">
        <w:rPr>
          <w:kern w:val="144"/>
        </w:rPr>
        <w:t>, w</w:t>
      </w:r>
      <w:r w:rsidR="00DC6175">
        <w:rPr>
          <w:kern w:val="144"/>
        </w:rPr>
        <w:t>ady oświadczenia woli, p</w:t>
      </w:r>
      <w:r w:rsidR="00152D78" w:rsidRPr="00DC6175">
        <w:rPr>
          <w:kern w:val="144"/>
        </w:rPr>
        <w:t>rzedawnienie roszczeń według części ogólnej Kodeksu cywilnego.</w:t>
      </w:r>
      <w:r w:rsidR="00152D78" w:rsidRPr="00DC6175">
        <w:rPr>
          <w:b/>
          <w:bCs/>
          <w:kern w:val="144"/>
        </w:rPr>
        <w:t xml:space="preserve"> </w:t>
      </w:r>
      <w:r w:rsidR="00DC6175">
        <w:rPr>
          <w:kern w:val="144"/>
        </w:rPr>
        <w:t xml:space="preserve">Wybrane zagadnienia </w:t>
      </w:r>
      <w:r w:rsidR="00152D78" w:rsidRPr="00DC6175">
        <w:rPr>
          <w:kern w:val="144"/>
        </w:rPr>
        <w:t>r</w:t>
      </w:r>
      <w:r w:rsidR="00DC6175">
        <w:rPr>
          <w:bCs/>
          <w:kern w:val="144"/>
        </w:rPr>
        <w:t>ozporządzenia</w:t>
      </w:r>
      <w:r w:rsidR="00152D78" w:rsidRPr="00DC6175">
        <w:rPr>
          <w:bCs/>
          <w:kern w:val="144"/>
        </w:rPr>
        <w:t xml:space="preserve"> Ministra Sprawiedliwości z dnia 23 </w:t>
      </w:r>
      <w:r w:rsidR="00FF045A">
        <w:rPr>
          <w:bCs/>
          <w:kern w:val="144"/>
        </w:rPr>
        <w:t>grudnia 2015</w:t>
      </w:r>
      <w:r w:rsidR="00152D78" w:rsidRPr="00DC6175">
        <w:rPr>
          <w:bCs/>
          <w:kern w:val="144"/>
        </w:rPr>
        <w:t xml:space="preserve"> r. Regulamin urzędowania sądów powszechnych. </w:t>
      </w:r>
      <w:r w:rsidR="00DC6175">
        <w:rPr>
          <w:kern w:val="144"/>
        </w:rPr>
        <w:t>Przedmiotem zjazdu jest także ochrona dóbr osobistych w prawie cywilnym,</w:t>
      </w:r>
      <w:r w:rsidR="00152D78" w:rsidRPr="00DC6175">
        <w:rPr>
          <w:kern w:val="144"/>
        </w:rPr>
        <w:t xml:space="preserve"> </w:t>
      </w:r>
      <w:r w:rsidR="00DC6175">
        <w:rPr>
          <w:kern w:val="144"/>
        </w:rPr>
        <w:t>n</w:t>
      </w:r>
      <w:r w:rsidR="00152D78" w:rsidRPr="00DC6175">
        <w:rPr>
          <w:kern w:val="144"/>
        </w:rPr>
        <w:t>abycie własności przez je</w:t>
      </w:r>
      <w:r w:rsidR="00DC6175">
        <w:rPr>
          <w:kern w:val="144"/>
        </w:rPr>
        <w:t>j przeniesienie i zasiedzenie, r</w:t>
      </w:r>
      <w:r w:rsidR="00152D78" w:rsidRPr="00DC6175">
        <w:rPr>
          <w:kern w:val="144"/>
        </w:rPr>
        <w:t>oszczeni</w:t>
      </w:r>
      <w:r w:rsidR="00DC6175">
        <w:rPr>
          <w:kern w:val="144"/>
        </w:rPr>
        <w:t>a windykacyjne i</w:t>
      </w:r>
      <w:r w:rsidR="000614D0">
        <w:rPr>
          <w:kern w:val="144"/>
        </w:rPr>
        <w:t> </w:t>
      </w:r>
      <w:r w:rsidR="00DC6175">
        <w:rPr>
          <w:kern w:val="144"/>
        </w:rPr>
        <w:t>negatoryjne oraz p</w:t>
      </w:r>
      <w:r w:rsidR="00152D78" w:rsidRPr="00DC6175">
        <w:rPr>
          <w:kern w:val="144"/>
        </w:rPr>
        <w:t>osiadanie i</w:t>
      </w:r>
      <w:r w:rsidR="00EE6BD7">
        <w:rPr>
          <w:kern w:val="144"/>
        </w:rPr>
        <w:t> </w:t>
      </w:r>
      <w:r w:rsidR="00152D78" w:rsidRPr="00DC6175">
        <w:rPr>
          <w:kern w:val="144"/>
        </w:rPr>
        <w:t xml:space="preserve">jego ochrona. </w:t>
      </w:r>
    </w:p>
    <w:p w:rsidR="00914287" w:rsidRPr="00152D78" w:rsidRDefault="00914287" w:rsidP="00152D78">
      <w:pPr>
        <w:widowControl w:val="0"/>
        <w:numPr>
          <w:ilvl w:val="0"/>
          <w:numId w:val="9"/>
        </w:numPr>
        <w:spacing w:line="360" w:lineRule="auto"/>
        <w:jc w:val="both"/>
        <w:rPr>
          <w:kern w:val="144"/>
        </w:rPr>
      </w:pPr>
      <w:r w:rsidRPr="00914287">
        <w:t xml:space="preserve">Prawo cywilne procesowe, w tym: </w:t>
      </w:r>
      <w:r w:rsidR="00DC6175">
        <w:rPr>
          <w:kern w:val="144"/>
        </w:rPr>
        <w:t>w</w:t>
      </w:r>
      <w:r w:rsidR="00152D78" w:rsidRPr="00152D78">
        <w:rPr>
          <w:kern w:val="144"/>
        </w:rPr>
        <w:t>ymogi formalne pism procesowych ze szczególnym uwzględnieniem pozwu oraz wniosku w postępowaniu nieprocesowym jako kwalifikowanych pism procesowych. Zwrot, odrzucenie i cofnięcie pozwu. Właściwość rzeczowa i miejscowa s</w:t>
      </w:r>
      <w:r w:rsidR="00DC6175">
        <w:rPr>
          <w:kern w:val="144"/>
        </w:rPr>
        <w:t>ądu w postępowaniu procesowym. O</w:t>
      </w:r>
      <w:r w:rsidR="00152D78" w:rsidRPr="00152D78">
        <w:rPr>
          <w:kern w:val="144"/>
        </w:rPr>
        <w:t>rzeczenia kończące postępowanie procesowe przed sądem I insta</w:t>
      </w:r>
      <w:r w:rsidR="00DC6175">
        <w:rPr>
          <w:kern w:val="144"/>
        </w:rPr>
        <w:t>ncji; prawomocność orzeczeń; u</w:t>
      </w:r>
      <w:r w:rsidR="00152D78" w:rsidRPr="00152D78">
        <w:rPr>
          <w:kern w:val="144"/>
        </w:rPr>
        <w:t>znanie orzeczeń sądów zagranicznych.</w:t>
      </w:r>
    </w:p>
    <w:p w:rsidR="00152D78" w:rsidRDefault="00152D78" w:rsidP="003C6EC7">
      <w:pPr>
        <w:spacing w:line="360" w:lineRule="auto"/>
        <w:ind w:firstLine="708"/>
        <w:jc w:val="both"/>
      </w:pPr>
    </w:p>
    <w:p w:rsidR="00200F68" w:rsidRDefault="00200F68" w:rsidP="003C6EC7">
      <w:pPr>
        <w:spacing w:line="360" w:lineRule="auto"/>
        <w:ind w:firstLine="708"/>
        <w:jc w:val="both"/>
      </w:pPr>
      <w:r>
        <w:lastRenderedPageBreak/>
        <w:t>Patroni praktyk winni zadbać, aby aplikanci w czasie praktyk mieli możliwość zapoznania się z praktyczną stroną pracy prokurato</w:t>
      </w:r>
      <w:r w:rsidR="003C6EC7">
        <w:t>ra w zakresie objętym tematyką z</w:t>
      </w:r>
      <w:r>
        <w:t>jazdu.</w:t>
      </w:r>
    </w:p>
    <w:p w:rsidR="003C6EC7" w:rsidRDefault="003C6EC7" w:rsidP="003C6EC7">
      <w:pPr>
        <w:spacing w:line="360" w:lineRule="auto"/>
        <w:ind w:firstLine="708"/>
        <w:jc w:val="both"/>
      </w:pPr>
    </w:p>
    <w:p w:rsidR="003C6EC7" w:rsidRDefault="00200F68" w:rsidP="003C6EC7">
      <w:pPr>
        <w:spacing w:line="360" w:lineRule="auto"/>
        <w:ind w:firstLine="708"/>
        <w:jc w:val="both"/>
      </w:pPr>
      <w:r>
        <w:t>Podczas praktyk aplikanci powinni również nabyć praktyczne umie</w:t>
      </w:r>
      <w:r w:rsidR="003C6EC7">
        <w:t>jętności, obejmujące:</w:t>
      </w:r>
    </w:p>
    <w:p w:rsidR="003C6EC7" w:rsidRDefault="003C6EC7" w:rsidP="003C6EC7">
      <w:pPr>
        <w:numPr>
          <w:ilvl w:val="0"/>
          <w:numId w:val="6"/>
        </w:numPr>
        <w:spacing w:line="360" w:lineRule="auto"/>
        <w:ind w:left="0" w:firstLine="709"/>
        <w:jc w:val="both"/>
      </w:pPr>
      <w:r>
        <w:t>Z</w:t>
      </w:r>
      <w:r w:rsidR="00200F68">
        <w:t>najom</w:t>
      </w:r>
      <w:r>
        <w:t>ość zasad rejestracji spraw cywilnych</w:t>
      </w:r>
      <w:r w:rsidR="00200F68">
        <w:t xml:space="preserve"> </w:t>
      </w:r>
      <w:r w:rsidR="00EE6BD7">
        <w:t xml:space="preserve">w prokuraturze </w:t>
      </w:r>
      <w:r w:rsidR="00200F68">
        <w:t>poprzez</w:t>
      </w:r>
      <w:r>
        <w:t xml:space="preserve"> zapoznanie się z urządzeniami </w:t>
      </w:r>
      <w:r w:rsidR="00200F68">
        <w:t>rejestrowymi, sposobem dekretowania spraw, techniką wyłączania materiałów z postępowania karnego, zakładania akt nowej sprawy „Pc” i zasad jej wykreślania z urządzeń ewidencyjnych jako sprawy zakończonej;</w:t>
      </w:r>
    </w:p>
    <w:p w:rsidR="003C6EC7" w:rsidRDefault="003C6EC7" w:rsidP="003C6EC7">
      <w:pPr>
        <w:numPr>
          <w:ilvl w:val="0"/>
          <w:numId w:val="6"/>
        </w:numPr>
        <w:spacing w:line="360" w:lineRule="auto"/>
        <w:ind w:left="0" w:firstLine="709"/>
        <w:jc w:val="both"/>
      </w:pPr>
      <w:r>
        <w:t>P</w:t>
      </w:r>
      <w:r w:rsidR="00200F68">
        <w:t>rzygotowywanie projektu planu czynności p</w:t>
      </w:r>
      <w:r w:rsidR="0062243D">
        <w:t xml:space="preserve">odejmowanych przez prokuratora </w:t>
      </w:r>
      <w:r w:rsidR="00200F68">
        <w:t>w reakcji na wniosek stron o podjęcie czynności w trybie postępowania cywilneg</w:t>
      </w:r>
      <w:r w:rsidR="0062243D">
        <w:t xml:space="preserve">o oraz </w:t>
      </w:r>
      <w:r>
        <w:t>w </w:t>
      </w:r>
      <w:r w:rsidR="00200F68">
        <w:t xml:space="preserve">sprawach </w:t>
      </w:r>
      <w:r>
        <w:t xml:space="preserve">podejmowanych przez prokuratora z urzędu w związku z wyłączeniem </w:t>
      </w:r>
      <w:r w:rsidR="003B743D">
        <w:t>–</w:t>
      </w:r>
      <w:r>
        <w:t xml:space="preserve"> na odcinek postępowania cywilnego </w:t>
      </w:r>
      <w:r w:rsidR="003B743D">
        <w:t>–</w:t>
      </w:r>
      <w:r>
        <w:t xml:space="preserve"> materiałów</w:t>
      </w:r>
      <w:r w:rsidR="00200F68">
        <w:t xml:space="preserve"> z prowadzonych bądź nadzorowanych spraw karnych;</w:t>
      </w:r>
    </w:p>
    <w:p w:rsidR="00242624" w:rsidRDefault="003C6EC7" w:rsidP="00242624">
      <w:pPr>
        <w:numPr>
          <w:ilvl w:val="0"/>
          <w:numId w:val="6"/>
        </w:numPr>
        <w:spacing w:line="360" w:lineRule="auto"/>
        <w:ind w:left="0" w:firstLine="709"/>
        <w:jc w:val="both"/>
      </w:pPr>
      <w:r>
        <w:t>O</w:t>
      </w:r>
      <w:r w:rsidR="00200F68">
        <w:t>pracowywanie projektów odezw (z uwzględnieniem podstawy prawnej) kierowanych w takich sprawach do wł</w:t>
      </w:r>
      <w:r w:rsidR="00453274">
        <w:t>aściwych organów/</w:t>
      </w:r>
      <w:r w:rsidR="0062243D">
        <w:t xml:space="preserve">instytucji </w:t>
      </w:r>
      <w:r w:rsidR="00200F68">
        <w:t xml:space="preserve">o nadesłanie dokumentów, które mogą być niezbędne do prawidłowego rozpoznania </w:t>
      </w:r>
      <w:r w:rsidR="0044243E">
        <w:t>sprawy</w:t>
      </w:r>
      <w:r w:rsidR="00200F68">
        <w:t xml:space="preserve"> (np. akty stanu cywilnego, dokumenty leczenia, zaświadczenia o rozpoznanej chorobie psychicznej, niedorozw</w:t>
      </w:r>
      <w:r w:rsidR="0044243E">
        <w:t>oju umysłowym lub uzależnieniu</w:t>
      </w:r>
      <w:r w:rsidR="00200F68">
        <w:t>, akt</w:t>
      </w:r>
      <w:r w:rsidR="003B743D">
        <w:t>a</w:t>
      </w:r>
      <w:r w:rsidR="00200F68">
        <w:t xml:space="preserve"> sądow</w:t>
      </w:r>
      <w:r w:rsidR="003B743D">
        <w:t>e</w:t>
      </w:r>
      <w:r w:rsidR="0044243E">
        <w:t xml:space="preserve"> itp.</w:t>
      </w:r>
      <w:r w:rsidR="00200F68">
        <w:t>);</w:t>
      </w:r>
    </w:p>
    <w:p w:rsidR="00242624" w:rsidRDefault="00242624" w:rsidP="00242624">
      <w:pPr>
        <w:numPr>
          <w:ilvl w:val="0"/>
          <w:numId w:val="6"/>
        </w:numPr>
        <w:spacing w:line="360" w:lineRule="auto"/>
        <w:ind w:left="0" w:firstLine="709"/>
        <w:jc w:val="both"/>
      </w:pPr>
      <w:r>
        <w:t>O</w:t>
      </w:r>
      <w:r w:rsidR="0044243E">
        <w:t xml:space="preserve">cenę zgromadzonego w sprawie </w:t>
      </w:r>
      <w:r w:rsidR="00200F68">
        <w:t xml:space="preserve">materiału </w:t>
      </w:r>
      <w:r w:rsidR="0044243E">
        <w:t>dowodowego pod kątem podjęcia decyzji końcowej dotyczącej sposobu załatwienia sprawy, tj. ustalenia, czy zaistniały przesłanki formalne i materialno-prawne w celu ustalenia do zainicjowania postępowania sądowego poprzez skierowanie pozwu lub wniosku, czy zaistniały w sprawie podstawy do wywiedzenia apelacji</w:t>
      </w:r>
      <w:r w:rsidR="00200F68">
        <w:t xml:space="preserve"> czy </w:t>
      </w:r>
      <w:r w:rsidR="0044243E">
        <w:t xml:space="preserve">też do wstąpienia – na podstawie </w:t>
      </w:r>
      <w:r w:rsidR="00200F68">
        <w:t>art. 7 k.p.c</w:t>
      </w:r>
      <w:r w:rsidR="0044243E">
        <w:t xml:space="preserve">. i art. 60 </w:t>
      </w:r>
      <w:r w:rsidR="00202739">
        <w:t>§</w:t>
      </w:r>
      <w:r w:rsidR="0044243E">
        <w:t xml:space="preserve"> 1 k.p.c. – do toczącego się już postępowania sądowego</w:t>
      </w:r>
      <w:r w:rsidR="00200F68">
        <w:t>;</w:t>
      </w:r>
    </w:p>
    <w:p w:rsidR="00242624" w:rsidRDefault="00242624" w:rsidP="00242624">
      <w:pPr>
        <w:numPr>
          <w:ilvl w:val="0"/>
          <w:numId w:val="6"/>
        </w:numPr>
        <w:spacing w:line="360" w:lineRule="auto"/>
        <w:ind w:left="0" w:firstLine="709"/>
        <w:jc w:val="both"/>
      </w:pPr>
      <w:r>
        <w:t xml:space="preserve">Opracowanie, stosownie do poczynionych ustaleń, projektu właściwego pisma inicjującego postępowanie sądowe (pozwu lub wniosku), </w:t>
      </w:r>
      <w:r w:rsidRPr="00453274">
        <w:rPr>
          <w:u w:val="single"/>
        </w:rPr>
        <w:t>projektu apelacji</w:t>
      </w:r>
      <w:r>
        <w:t>, jak również projektu odpowiedzi do zainteresowanego o braku przesłanek formalnych i materialnych do wywiedzenia wyżej wymienionych środków prawnych, bądź o braku podstaw prawnych do zgłoszenia przez prokuratora udziału w postepowaniu toczącym się przed sądem, wszczętym przez osoby uprawnione.</w:t>
      </w:r>
    </w:p>
    <w:p w:rsidR="00242624" w:rsidRDefault="00242624" w:rsidP="00242624">
      <w:pPr>
        <w:spacing w:line="360" w:lineRule="auto"/>
        <w:jc w:val="both"/>
      </w:pPr>
    </w:p>
    <w:p w:rsidR="00242624" w:rsidRDefault="00242624" w:rsidP="00126894">
      <w:pPr>
        <w:spacing w:line="360" w:lineRule="auto"/>
        <w:ind w:firstLine="709"/>
        <w:jc w:val="both"/>
      </w:pPr>
      <w:r>
        <w:lastRenderedPageBreak/>
        <w:t xml:space="preserve">Celem praktyki jest również zapoznanie aplikantów z czynnościami podejmowanymi przez prokuratorów, którym powierzono zadania z zakresu prawa cywilnego, ze szczególnym uwzględnieniem działań w sprawach, w których prokurator wytaczał powództwo oraz sporządzał środki </w:t>
      </w:r>
      <w:r w:rsidR="00BF1C48">
        <w:t>odwoławcze, jak również metodyka</w:t>
      </w:r>
      <w:r>
        <w:t xml:space="preserve"> sporządzania tego rodza</w:t>
      </w:r>
      <w:r w:rsidR="00BF1C48">
        <w:t xml:space="preserve">ju pism, w tym utrwalenie </w:t>
      </w:r>
      <w:r>
        <w:t>umiejętności opracowywania projektu apelacji od</w:t>
      </w:r>
      <w:r w:rsidR="00126894">
        <w:t xml:space="preserve"> orzeczenia w sprawie cywilnej.</w:t>
      </w:r>
    </w:p>
    <w:p w:rsidR="00AC115D" w:rsidRDefault="00200F68" w:rsidP="00126894">
      <w:pPr>
        <w:spacing w:line="360" w:lineRule="auto"/>
        <w:ind w:firstLine="708"/>
        <w:jc w:val="both"/>
      </w:pPr>
      <w:r>
        <w:t>Ponadto aplikanci powinni</w:t>
      </w:r>
      <w:r w:rsidR="00242624">
        <w:t xml:space="preserve"> uczestniczyć (także w charakterze protokolantów) w czynnościach informacyjnego wy</w:t>
      </w:r>
      <w:r>
        <w:t xml:space="preserve">słuchania </w:t>
      </w:r>
      <w:r w:rsidR="00242624">
        <w:t>osób będących stronami lub uczestnikami postępowania oraz w czynnościach przesłuchania świadków, które prokurator podejmuje w trybie</w:t>
      </w:r>
      <w:r>
        <w:t xml:space="preserve"> art. 69 § 1 i 2 ustawy </w:t>
      </w:r>
      <w:r w:rsidR="00242624">
        <w:t>Prawo o prokuraturze z dnia 28 stycznia 2016 r.</w:t>
      </w:r>
      <w:r w:rsidR="00AC115D">
        <w:t xml:space="preserve"> </w:t>
      </w:r>
      <w:r w:rsidR="00EB4FB5">
        <w:t>w</w:t>
      </w:r>
      <w:r w:rsidR="00AC115D">
        <w:t xml:space="preserve"> celu rozpoznania i wyjaśnienia istoty sprawy.</w:t>
      </w:r>
    </w:p>
    <w:p w:rsidR="00200F68" w:rsidRDefault="00AC115D" w:rsidP="00126894">
      <w:pPr>
        <w:spacing w:line="360" w:lineRule="auto"/>
        <w:ind w:firstLine="708"/>
        <w:jc w:val="both"/>
      </w:pPr>
      <w:r>
        <w:t>Powyższe zalecenia nie eliminują możliwości wykonywania przez aplikantów innych zadań, wynikających z bieżącego funkcjonowania prokuratury. Patroni zadbać jednak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w:t>
      </w:r>
      <w:r w:rsidR="00126894">
        <w:t>h ogólnych umiejętności. S</w:t>
      </w:r>
      <w:r>
        <w:t>łużyć</w:t>
      </w:r>
      <w:r w:rsidR="00126894">
        <w:t xml:space="preserve"> ma temu również</w:t>
      </w:r>
      <w:r>
        <w:t xml:space="preserve"> zapoznanie aplikantów z zasadami biurowości, w tym prow</w:t>
      </w:r>
      <w:r w:rsidR="00126894">
        <w:t>adzenia urządzeń ewidencyjnych.</w:t>
      </w:r>
    </w:p>
    <w:p w:rsidR="00200F68" w:rsidRDefault="00200F68" w:rsidP="00202739">
      <w:pPr>
        <w:spacing w:line="360" w:lineRule="auto"/>
        <w:ind w:firstLine="708"/>
        <w:jc w:val="both"/>
      </w:pPr>
      <w:r>
        <w:t xml:space="preserve">Jednocześnie informuję, że </w:t>
      </w:r>
      <w:r w:rsidRPr="00453274">
        <w:rPr>
          <w:u w:val="single"/>
        </w:rPr>
        <w:t xml:space="preserve">przedmiotem sprawdzianu </w:t>
      </w:r>
      <w:r w:rsidR="00AC115D" w:rsidRPr="00453274">
        <w:rPr>
          <w:u w:val="single"/>
        </w:rPr>
        <w:t xml:space="preserve">po XXII </w:t>
      </w:r>
      <w:r w:rsidR="00126894" w:rsidRPr="00453274">
        <w:rPr>
          <w:u w:val="single"/>
        </w:rPr>
        <w:t xml:space="preserve">zjeździe </w:t>
      </w:r>
      <w:r w:rsidRPr="00453274">
        <w:rPr>
          <w:u w:val="single"/>
        </w:rPr>
        <w:t>będzie sporządzenie projektu</w:t>
      </w:r>
      <w:r w:rsidR="00AC115D" w:rsidRPr="00453274">
        <w:rPr>
          <w:u w:val="single"/>
        </w:rPr>
        <w:t xml:space="preserve"> apelacji prokuratorskiej w postępowaniu cywilnym, </w:t>
      </w:r>
      <w:r w:rsidR="006B770C" w:rsidRPr="00453274">
        <w:rPr>
          <w:u w:val="single"/>
        </w:rPr>
        <w:t>a w związku z tym</w:t>
      </w:r>
      <w:r w:rsidR="00AC115D" w:rsidRPr="00453274">
        <w:rPr>
          <w:u w:val="single"/>
        </w:rPr>
        <w:t xml:space="preserve"> konieczne jest, aby aplikanci w toku praktyk mieli możliwość sporządzenia </w:t>
      </w:r>
      <w:r w:rsidR="00E834BF" w:rsidRPr="00453274">
        <w:rPr>
          <w:u w:val="single"/>
        </w:rPr>
        <w:t>jak największej ilości takich</w:t>
      </w:r>
      <w:r w:rsidR="006B770C" w:rsidRPr="00453274">
        <w:rPr>
          <w:u w:val="single"/>
        </w:rPr>
        <w:t xml:space="preserve"> właśnie</w:t>
      </w:r>
      <w:r w:rsidR="00E834BF" w:rsidRPr="00453274">
        <w:rPr>
          <w:u w:val="single"/>
        </w:rPr>
        <w:t xml:space="preserve"> środków odwoławczych</w:t>
      </w:r>
      <w:r w:rsidR="00D75997">
        <w:t>. W</w:t>
      </w:r>
      <w:r w:rsidR="00AC115D">
        <w:t xml:space="preserve"> przypadku chwilowego braku sprawy, w</w:t>
      </w:r>
      <w:r w:rsidR="006B770C">
        <w:t> </w:t>
      </w:r>
      <w:r w:rsidR="00AC115D">
        <w:t>której można byłoby taki środek zaskarżenia wywieść, należy przedłożyć aplikantom sprawy, w</w:t>
      </w:r>
      <w:r w:rsidR="00E834BF">
        <w:t> </w:t>
      </w:r>
      <w:r w:rsidR="00AC115D">
        <w:t>których ap</w:t>
      </w:r>
      <w:r w:rsidR="00D75997">
        <w:t xml:space="preserve">elacja została już wywiedziona </w:t>
      </w:r>
      <w:r w:rsidR="00E834BF">
        <w:t>–</w:t>
      </w:r>
      <w:r w:rsidR="00D75997">
        <w:t xml:space="preserve"> </w:t>
      </w:r>
      <w:r w:rsidR="00AC115D">
        <w:t xml:space="preserve">w celu </w:t>
      </w:r>
      <w:r w:rsidR="0067600D">
        <w:t>sporządzenia projektu apelacji dla celów wyłącznie szkoleniowych i porównania jej z już</w:t>
      </w:r>
      <w:r w:rsidR="00AC115D">
        <w:t xml:space="preserve"> sporządzonym środkiem odwoławczym.</w:t>
      </w:r>
    </w:p>
    <w:p w:rsidR="00AE33FA" w:rsidRDefault="00AE33FA"/>
    <w:p w:rsidR="00640C16" w:rsidRDefault="00640C16"/>
    <w:p w:rsidR="00640C16" w:rsidRPr="00093AD8" w:rsidRDefault="00640C16" w:rsidP="00640C16">
      <w:pPr>
        <w:spacing w:line="360" w:lineRule="auto"/>
        <w:ind w:left="3540"/>
        <w:jc w:val="center"/>
        <w:rPr>
          <w:b/>
          <w:i/>
        </w:rPr>
      </w:pPr>
      <w:r w:rsidRPr="00093AD8">
        <w:rPr>
          <w:b/>
          <w:i/>
        </w:rPr>
        <w:t>Kierownik Działu Dydaktycznego</w:t>
      </w:r>
      <w:r w:rsidRPr="00093AD8">
        <w:rPr>
          <w:b/>
          <w:i/>
        </w:rPr>
        <w:br/>
        <w:t>Ośrodka Aplikacji Prokuratorskiej</w:t>
      </w:r>
      <w:r w:rsidRPr="00093AD8">
        <w:rPr>
          <w:b/>
          <w:i/>
        </w:rPr>
        <w:br/>
        <w:t>Krajowej Szkoły Sądownictwa i Prokuratury</w:t>
      </w:r>
    </w:p>
    <w:p w:rsidR="00640C16" w:rsidRPr="00093AD8" w:rsidRDefault="00640C16" w:rsidP="00640C16">
      <w:pPr>
        <w:spacing w:line="360" w:lineRule="auto"/>
        <w:ind w:left="3540"/>
        <w:jc w:val="center"/>
        <w:rPr>
          <w:b/>
          <w:i/>
        </w:rPr>
      </w:pPr>
    </w:p>
    <w:p w:rsidR="00640C16" w:rsidRPr="00093AD8" w:rsidRDefault="00640C16" w:rsidP="00640C16">
      <w:pPr>
        <w:spacing w:line="360" w:lineRule="auto"/>
        <w:ind w:left="3538"/>
        <w:jc w:val="center"/>
        <w:rPr>
          <w:b/>
          <w:i/>
        </w:rPr>
      </w:pPr>
      <w:r w:rsidRPr="00093AD8">
        <w:rPr>
          <w:b/>
          <w:i/>
        </w:rPr>
        <w:t>Beata Padło</w:t>
      </w:r>
    </w:p>
    <w:p w:rsidR="00640C16" w:rsidRPr="00093AD8" w:rsidRDefault="00640C16" w:rsidP="00640C16">
      <w:pPr>
        <w:spacing w:line="360" w:lineRule="auto"/>
        <w:ind w:left="3540"/>
        <w:jc w:val="center"/>
        <w:rPr>
          <w:b/>
        </w:rPr>
      </w:pPr>
      <w:r w:rsidRPr="00093AD8">
        <w:rPr>
          <w:b/>
          <w:i/>
        </w:rPr>
        <w:t>Prokurator Prokuratury Okręgowej</w:t>
      </w:r>
      <w:r w:rsidRPr="00093AD8">
        <w:rPr>
          <w:b/>
        </w:rPr>
        <w:t xml:space="preserve"> </w:t>
      </w:r>
    </w:p>
    <w:p w:rsidR="00640C16" w:rsidRDefault="00640C16"/>
    <w:sectPr w:rsidR="00640C16" w:rsidSect="00AE33FA">
      <w:headerReference w:type="default" r:id="rId9"/>
      <w:footerReference w:type="default" r:id="rId10"/>
      <w:headerReference w:type="first" r:id="rId11"/>
      <w:footerReference w:type="first" r:id="rId12"/>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65" w:rsidRDefault="003D6765">
      <w:r>
        <w:separator/>
      </w:r>
    </w:p>
  </w:endnote>
  <w:endnote w:type="continuationSeparator" w:id="0">
    <w:p w:rsidR="003D6765" w:rsidRDefault="003D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5C19AC">
    <w:pPr>
      <w:pStyle w:val="Stopka"/>
    </w:pPr>
    <w:r>
      <w:fldChar w:fldCharType="begin"/>
    </w:r>
    <w:r>
      <w:instrText xml:space="preserve"> PAGE   \* MERGEFORMAT </w:instrText>
    </w:r>
    <w:r>
      <w:fldChar w:fldCharType="separate"/>
    </w:r>
    <w:r w:rsidR="00F825DA">
      <w:rPr>
        <w:noProof/>
      </w:rPr>
      <w:t>4</w:t>
    </w:r>
    <w:r>
      <w:rPr>
        <w:noProof/>
      </w:rPr>
      <w:fldChar w:fldCharType="end"/>
    </w:r>
  </w:p>
  <w:p w:rsidR="00AE33FA" w:rsidRDefault="00AE33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AE33FA" w:rsidTr="00AE33FA">
      <w:trPr>
        <w:trHeight w:val="23"/>
      </w:trPr>
      <w:tc>
        <w:tcPr>
          <w:tcW w:w="5099" w:type="dxa"/>
          <w:tcBorders>
            <w:top w:val="thinThickSmallGap" w:sz="12" w:space="0" w:color="auto"/>
          </w:tcBorders>
        </w:tcPr>
        <w:p w:rsidR="00AE33FA" w:rsidRPr="0074505E" w:rsidRDefault="00AE33FA" w:rsidP="00AE33FA">
          <w:pPr>
            <w:pStyle w:val="Stopka"/>
            <w:jc w:val="left"/>
            <w:rPr>
              <w:sz w:val="4"/>
              <w:szCs w:val="4"/>
            </w:rPr>
          </w:pPr>
        </w:p>
      </w:tc>
    </w:tr>
  </w:tbl>
  <w:p w:rsidR="00AE33FA" w:rsidRPr="00A944C8" w:rsidRDefault="005C19AC" w:rsidP="00AE33FA">
    <w:pPr>
      <w:pStyle w:val="Stopka"/>
      <w:rPr>
        <w:sz w:val="18"/>
        <w:szCs w:val="18"/>
      </w:rPr>
    </w:pPr>
    <w:r w:rsidRPr="00A944C8">
      <w:rPr>
        <w:sz w:val="18"/>
        <w:szCs w:val="18"/>
      </w:rPr>
      <w:t>Krajowa Szkoła Sądownictwa i Prokuratury</w:t>
    </w:r>
  </w:p>
  <w:p w:rsidR="00AE33FA" w:rsidRPr="00A944C8" w:rsidRDefault="005C19AC" w:rsidP="00AE33FA">
    <w:pPr>
      <w:pStyle w:val="Stopka"/>
      <w:rPr>
        <w:sz w:val="18"/>
        <w:szCs w:val="18"/>
      </w:rPr>
    </w:pPr>
    <w:r w:rsidRPr="00A944C8">
      <w:rPr>
        <w:sz w:val="18"/>
        <w:szCs w:val="18"/>
      </w:rPr>
      <w:t>ul. Przy Rondzie 5, 31-547 Kraków</w:t>
    </w:r>
  </w:p>
  <w:p w:rsidR="00AE33FA" w:rsidRDefault="00AE33FA" w:rsidP="00AE33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65" w:rsidRDefault="003D6765">
      <w:r>
        <w:separator/>
      </w:r>
    </w:p>
  </w:footnote>
  <w:footnote w:type="continuationSeparator" w:id="0">
    <w:p w:rsidR="003D6765" w:rsidRDefault="003D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Pr="009B38B3" w:rsidRDefault="005C19AC" w:rsidP="00AE33FA">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154BFC" w:rsidP="00AE33FA">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7728"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9AC">
      <w:rPr>
        <w:rFonts w:ascii="Century Gothic" w:hAnsi="Century Gothic" w:cs="Shruti"/>
        <w:spacing w:val="20"/>
        <w:sz w:val="30"/>
        <w:szCs w:val="30"/>
      </w:rPr>
      <w:t xml:space="preserve">  </w:t>
    </w:r>
  </w:p>
  <w:p w:rsidR="00AE33FA" w:rsidRDefault="00AE33FA" w:rsidP="00AE33FA">
    <w:pPr>
      <w:pStyle w:val="Nagwek"/>
      <w:ind w:right="4959"/>
      <w:jc w:val="center"/>
      <w:rPr>
        <w:b/>
      </w:rPr>
    </w:pPr>
  </w:p>
  <w:p w:rsidR="00AE33FA" w:rsidRPr="009E7ADE" w:rsidRDefault="00AE33FA" w:rsidP="00AE33FA">
    <w:pPr>
      <w:pStyle w:val="Nagwek"/>
      <w:ind w:left="-851" w:right="5526"/>
      <w:jc w:val="center"/>
      <w:rPr>
        <w:b/>
        <w:sz w:val="8"/>
        <w:szCs w:val="8"/>
      </w:rPr>
    </w:pPr>
  </w:p>
  <w:p w:rsidR="00AE33FA" w:rsidRPr="00551ABF" w:rsidRDefault="005C19AC" w:rsidP="00AE33FA">
    <w:pPr>
      <w:pStyle w:val="Nagwek"/>
      <w:ind w:left="-851" w:right="5526"/>
      <w:jc w:val="center"/>
      <w:rPr>
        <w:b/>
      </w:rPr>
    </w:pPr>
    <w:r w:rsidRPr="00551ABF">
      <w:rPr>
        <w:b/>
      </w:rPr>
      <w:t>KRAJOW</w:t>
    </w:r>
    <w:r>
      <w:rPr>
        <w:b/>
      </w:rPr>
      <w:t>A</w:t>
    </w:r>
    <w:r w:rsidRPr="00551ABF">
      <w:rPr>
        <w:b/>
      </w:rPr>
      <w:t xml:space="preserve"> SZKOŁ</w:t>
    </w:r>
    <w:r>
      <w:rPr>
        <w:b/>
      </w:rPr>
      <w:t>A</w:t>
    </w:r>
  </w:p>
  <w:p w:rsidR="00AE33FA" w:rsidRPr="00D021CB" w:rsidRDefault="005C19AC" w:rsidP="00AE33FA">
    <w:pPr>
      <w:pStyle w:val="Nagwek"/>
      <w:ind w:left="-851" w:right="5526"/>
      <w:jc w:val="center"/>
      <w:rPr>
        <w:b/>
      </w:rPr>
    </w:pPr>
    <w:r w:rsidRPr="00D021CB">
      <w:rPr>
        <w:b/>
      </w:rPr>
      <w:t>SĄDOWNICTWA I PROKURATURY</w:t>
    </w:r>
  </w:p>
  <w:p w:rsidR="00AE33FA" w:rsidRPr="004F17DC" w:rsidRDefault="00AE33FA" w:rsidP="00AE33FA">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D91"/>
    <w:multiLevelType w:val="hybridMultilevel"/>
    <w:tmpl w:val="1F36A44E"/>
    <w:lvl w:ilvl="0" w:tplc="B524D6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8BB49E9"/>
    <w:multiLevelType w:val="hybridMultilevel"/>
    <w:tmpl w:val="C5B2C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F134B6"/>
    <w:multiLevelType w:val="hybridMultilevel"/>
    <w:tmpl w:val="F166A0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2D252D25"/>
    <w:multiLevelType w:val="hybridMultilevel"/>
    <w:tmpl w:val="9A1E012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96455F"/>
    <w:multiLevelType w:val="hybridMultilevel"/>
    <w:tmpl w:val="3E3CE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47F2C2D"/>
    <w:multiLevelType w:val="hybridMultilevel"/>
    <w:tmpl w:val="F1864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48316D"/>
    <w:multiLevelType w:val="hybridMultilevel"/>
    <w:tmpl w:val="ACBA0DD0"/>
    <w:lvl w:ilvl="0" w:tplc="B524D6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5D519A"/>
    <w:multiLevelType w:val="hybridMultilevel"/>
    <w:tmpl w:val="B55AAE9E"/>
    <w:lvl w:ilvl="0" w:tplc="B524D6B0">
      <w:start w:val="1"/>
      <w:numFmt w:val="decimal"/>
      <w:lvlText w:val="%1."/>
      <w:lvlJc w:val="left"/>
      <w:pPr>
        <w:ind w:left="1776"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7FE077DF"/>
    <w:multiLevelType w:val="hybridMultilevel"/>
    <w:tmpl w:val="DC844B66"/>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
  </w:num>
  <w:num w:numId="2">
    <w:abstractNumId w:val="0"/>
  </w:num>
  <w:num w:numId="3">
    <w:abstractNumId w:val="7"/>
  </w:num>
  <w:num w:numId="4">
    <w:abstractNumId w:val="6"/>
  </w:num>
  <w:num w:numId="5">
    <w:abstractNumId w:val="8"/>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AC"/>
    <w:rsid w:val="000144DB"/>
    <w:rsid w:val="00020BEA"/>
    <w:rsid w:val="0002291F"/>
    <w:rsid w:val="00025143"/>
    <w:rsid w:val="000264EA"/>
    <w:rsid w:val="00027B41"/>
    <w:rsid w:val="0003120C"/>
    <w:rsid w:val="00040074"/>
    <w:rsid w:val="00052AF7"/>
    <w:rsid w:val="000614D0"/>
    <w:rsid w:val="00066DE5"/>
    <w:rsid w:val="00071A5F"/>
    <w:rsid w:val="00072E56"/>
    <w:rsid w:val="00093AD8"/>
    <w:rsid w:val="000C183F"/>
    <w:rsid w:val="000F0D06"/>
    <w:rsid w:val="00126894"/>
    <w:rsid w:val="00134128"/>
    <w:rsid w:val="00135154"/>
    <w:rsid w:val="00152D78"/>
    <w:rsid w:val="00154BFC"/>
    <w:rsid w:val="001577D8"/>
    <w:rsid w:val="00162FD1"/>
    <w:rsid w:val="00187DF5"/>
    <w:rsid w:val="001A0CC8"/>
    <w:rsid w:val="001B567C"/>
    <w:rsid w:val="001D6D1C"/>
    <w:rsid w:val="001E6978"/>
    <w:rsid w:val="001F0473"/>
    <w:rsid w:val="001F38E1"/>
    <w:rsid w:val="00200F68"/>
    <w:rsid w:val="002014FF"/>
    <w:rsid w:val="00202739"/>
    <w:rsid w:val="0020477A"/>
    <w:rsid w:val="00210D0F"/>
    <w:rsid w:val="00233660"/>
    <w:rsid w:val="00233813"/>
    <w:rsid w:val="00242624"/>
    <w:rsid w:val="00251500"/>
    <w:rsid w:val="002640B9"/>
    <w:rsid w:val="0027384C"/>
    <w:rsid w:val="00274130"/>
    <w:rsid w:val="002829E6"/>
    <w:rsid w:val="002A1EDD"/>
    <w:rsid w:val="002B3344"/>
    <w:rsid w:val="002F1CBA"/>
    <w:rsid w:val="002F337D"/>
    <w:rsid w:val="002F3593"/>
    <w:rsid w:val="00302585"/>
    <w:rsid w:val="00331655"/>
    <w:rsid w:val="003456F4"/>
    <w:rsid w:val="003635BF"/>
    <w:rsid w:val="003759C7"/>
    <w:rsid w:val="00381824"/>
    <w:rsid w:val="0038575A"/>
    <w:rsid w:val="00397D71"/>
    <w:rsid w:val="003B0161"/>
    <w:rsid w:val="003B1CEC"/>
    <w:rsid w:val="003B743D"/>
    <w:rsid w:val="003C2975"/>
    <w:rsid w:val="003C6EC7"/>
    <w:rsid w:val="003D51F1"/>
    <w:rsid w:val="003D6765"/>
    <w:rsid w:val="003E1441"/>
    <w:rsid w:val="003F40C5"/>
    <w:rsid w:val="003F6B4A"/>
    <w:rsid w:val="0040316C"/>
    <w:rsid w:val="00403C22"/>
    <w:rsid w:val="00415C2C"/>
    <w:rsid w:val="0042041A"/>
    <w:rsid w:val="004253AE"/>
    <w:rsid w:val="0044243E"/>
    <w:rsid w:val="00453274"/>
    <w:rsid w:val="00480471"/>
    <w:rsid w:val="004A40FA"/>
    <w:rsid w:val="004C0240"/>
    <w:rsid w:val="004D781B"/>
    <w:rsid w:val="004E15C1"/>
    <w:rsid w:val="004E49EC"/>
    <w:rsid w:val="004E577D"/>
    <w:rsid w:val="004F4031"/>
    <w:rsid w:val="0050594B"/>
    <w:rsid w:val="00510FA4"/>
    <w:rsid w:val="00515C12"/>
    <w:rsid w:val="00526825"/>
    <w:rsid w:val="0054411E"/>
    <w:rsid w:val="005558D8"/>
    <w:rsid w:val="00561169"/>
    <w:rsid w:val="005747B8"/>
    <w:rsid w:val="00581860"/>
    <w:rsid w:val="0058626A"/>
    <w:rsid w:val="005B5B10"/>
    <w:rsid w:val="005B73B9"/>
    <w:rsid w:val="005C19AC"/>
    <w:rsid w:val="005E6DFE"/>
    <w:rsid w:val="005F3E0D"/>
    <w:rsid w:val="00601DB1"/>
    <w:rsid w:val="0060318B"/>
    <w:rsid w:val="00615BDE"/>
    <w:rsid w:val="0062243D"/>
    <w:rsid w:val="00640C16"/>
    <w:rsid w:val="0064544C"/>
    <w:rsid w:val="00650881"/>
    <w:rsid w:val="0067600D"/>
    <w:rsid w:val="0067684E"/>
    <w:rsid w:val="00686457"/>
    <w:rsid w:val="006A5DF5"/>
    <w:rsid w:val="006B770C"/>
    <w:rsid w:val="006C08F0"/>
    <w:rsid w:val="006C18AF"/>
    <w:rsid w:val="006D2B3F"/>
    <w:rsid w:val="006E03C0"/>
    <w:rsid w:val="006E0F58"/>
    <w:rsid w:val="006E740C"/>
    <w:rsid w:val="00740BC1"/>
    <w:rsid w:val="00741145"/>
    <w:rsid w:val="007440AF"/>
    <w:rsid w:val="007504CF"/>
    <w:rsid w:val="0075570C"/>
    <w:rsid w:val="007573B3"/>
    <w:rsid w:val="00762F91"/>
    <w:rsid w:val="00771F0F"/>
    <w:rsid w:val="00782B75"/>
    <w:rsid w:val="00791105"/>
    <w:rsid w:val="00793AF6"/>
    <w:rsid w:val="007A6C45"/>
    <w:rsid w:val="007B6609"/>
    <w:rsid w:val="00815AC7"/>
    <w:rsid w:val="0082462F"/>
    <w:rsid w:val="00835666"/>
    <w:rsid w:val="00847EE0"/>
    <w:rsid w:val="0086592F"/>
    <w:rsid w:val="00876A31"/>
    <w:rsid w:val="008920C0"/>
    <w:rsid w:val="008A0EC3"/>
    <w:rsid w:val="008B4F82"/>
    <w:rsid w:val="008D26ED"/>
    <w:rsid w:val="008E234C"/>
    <w:rsid w:val="008E3C69"/>
    <w:rsid w:val="008E6797"/>
    <w:rsid w:val="008E7519"/>
    <w:rsid w:val="00902E9C"/>
    <w:rsid w:val="00914287"/>
    <w:rsid w:val="0091672E"/>
    <w:rsid w:val="00920939"/>
    <w:rsid w:val="00931BF0"/>
    <w:rsid w:val="0093772E"/>
    <w:rsid w:val="00941018"/>
    <w:rsid w:val="00962D7B"/>
    <w:rsid w:val="009825B4"/>
    <w:rsid w:val="009847D8"/>
    <w:rsid w:val="009A52E8"/>
    <w:rsid w:val="009B128C"/>
    <w:rsid w:val="009B6AAD"/>
    <w:rsid w:val="009C1530"/>
    <w:rsid w:val="009C4EDA"/>
    <w:rsid w:val="009C7B63"/>
    <w:rsid w:val="009D0D4D"/>
    <w:rsid w:val="009D0D6F"/>
    <w:rsid w:val="009F46BE"/>
    <w:rsid w:val="00A03A59"/>
    <w:rsid w:val="00A15CB9"/>
    <w:rsid w:val="00A30589"/>
    <w:rsid w:val="00A3445D"/>
    <w:rsid w:val="00A44C29"/>
    <w:rsid w:val="00A52D07"/>
    <w:rsid w:val="00A760A4"/>
    <w:rsid w:val="00A9231C"/>
    <w:rsid w:val="00AA63C9"/>
    <w:rsid w:val="00AC115D"/>
    <w:rsid w:val="00AE33FA"/>
    <w:rsid w:val="00AF419E"/>
    <w:rsid w:val="00B10727"/>
    <w:rsid w:val="00B177FB"/>
    <w:rsid w:val="00B307AE"/>
    <w:rsid w:val="00B56595"/>
    <w:rsid w:val="00B66353"/>
    <w:rsid w:val="00B776B3"/>
    <w:rsid w:val="00B80DF1"/>
    <w:rsid w:val="00B82948"/>
    <w:rsid w:val="00B90919"/>
    <w:rsid w:val="00B979EF"/>
    <w:rsid w:val="00BA1EDC"/>
    <w:rsid w:val="00BA357B"/>
    <w:rsid w:val="00BB258A"/>
    <w:rsid w:val="00BB50B1"/>
    <w:rsid w:val="00BC2124"/>
    <w:rsid w:val="00BC6FE1"/>
    <w:rsid w:val="00BD25DF"/>
    <w:rsid w:val="00BD36FB"/>
    <w:rsid w:val="00BD7499"/>
    <w:rsid w:val="00BF1C48"/>
    <w:rsid w:val="00C11C8F"/>
    <w:rsid w:val="00C36E22"/>
    <w:rsid w:val="00C402BA"/>
    <w:rsid w:val="00C65F1C"/>
    <w:rsid w:val="00C721BE"/>
    <w:rsid w:val="00CA2957"/>
    <w:rsid w:val="00CB06E6"/>
    <w:rsid w:val="00CB11D4"/>
    <w:rsid w:val="00CB27BE"/>
    <w:rsid w:val="00CC3432"/>
    <w:rsid w:val="00CD3944"/>
    <w:rsid w:val="00CE5C41"/>
    <w:rsid w:val="00CF7825"/>
    <w:rsid w:val="00D10786"/>
    <w:rsid w:val="00D4778E"/>
    <w:rsid w:val="00D51730"/>
    <w:rsid w:val="00D75997"/>
    <w:rsid w:val="00D935CE"/>
    <w:rsid w:val="00D94A04"/>
    <w:rsid w:val="00D95741"/>
    <w:rsid w:val="00DC6175"/>
    <w:rsid w:val="00DE697C"/>
    <w:rsid w:val="00DF7FC6"/>
    <w:rsid w:val="00E0472E"/>
    <w:rsid w:val="00E065DC"/>
    <w:rsid w:val="00E372AA"/>
    <w:rsid w:val="00E55833"/>
    <w:rsid w:val="00E677F9"/>
    <w:rsid w:val="00E834BF"/>
    <w:rsid w:val="00EA461B"/>
    <w:rsid w:val="00EB34F6"/>
    <w:rsid w:val="00EB4FB5"/>
    <w:rsid w:val="00EC7E92"/>
    <w:rsid w:val="00EE6BD7"/>
    <w:rsid w:val="00EF73F0"/>
    <w:rsid w:val="00F056CC"/>
    <w:rsid w:val="00F5776F"/>
    <w:rsid w:val="00F65667"/>
    <w:rsid w:val="00F65E44"/>
    <w:rsid w:val="00F777E3"/>
    <w:rsid w:val="00F825DA"/>
    <w:rsid w:val="00F92D5E"/>
    <w:rsid w:val="00FB5412"/>
    <w:rsid w:val="00FC60A4"/>
    <w:rsid w:val="00FE02D9"/>
    <w:rsid w:val="00FF0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19A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C19AC"/>
    <w:pPr>
      <w:tabs>
        <w:tab w:val="center" w:pos="4536"/>
        <w:tab w:val="right" w:pos="9072"/>
      </w:tabs>
    </w:pPr>
  </w:style>
  <w:style w:type="character" w:customStyle="1" w:styleId="NagwekZnak">
    <w:name w:val="Nagłówek Znak"/>
    <w:link w:val="Nagwek"/>
    <w:rsid w:val="005C19AC"/>
    <w:rPr>
      <w:rFonts w:ascii="Times New Roman" w:eastAsia="Times New Roman" w:hAnsi="Times New Roman" w:cs="Times New Roman"/>
      <w:sz w:val="24"/>
      <w:szCs w:val="24"/>
      <w:lang w:eastAsia="pl-PL"/>
    </w:rPr>
  </w:style>
  <w:style w:type="paragraph" w:styleId="Stopka">
    <w:name w:val="footer"/>
    <w:basedOn w:val="Normalny"/>
    <w:link w:val="StopkaZnak"/>
    <w:rsid w:val="005C19AC"/>
    <w:pPr>
      <w:tabs>
        <w:tab w:val="center" w:pos="4536"/>
        <w:tab w:val="right" w:pos="9072"/>
      </w:tabs>
      <w:jc w:val="center"/>
    </w:pPr>
    <w:rPr>
      <w:sz w:val="20"/>
      <w:szCs w:val="20"/>
    </w:rPr>
  </w:style>
  <w:style w:type="character" w:customStyle="1" w:styleId="StopkaZnak">
    <w:name w:val="Stopka Znak"/>
    <w:link w:val="Stopka"/>
    <w:rsid w:val="005C19A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C19AC"/>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242624"/>
    <w:rPr>
      <w:sz w:val="20"/>
      <w:szCs w:val="20"/>
    </w:rPr>
  </w:style>
  <w:style w:type="character" w:customStyle="1" w:styleId="TekstprzypisukocowegoZnak">
    <w:name w:val="Tekst przypisu końcowego Znak"/>
    <w:link w:val="Tekstprzypisukocowego"/>
    <w:uiPriority w:val="99"/>
    <w:semiHidden/>
    <w:rsid w:val="00242624"/>
    <w:rPr>
      <w:rFonts w:ascii="Times New Roman" w:eastAsia="Times New Roman" w:hAnsi="Times New Roman"/>
    </w:rPr>
  </w:style>
  <w:style w:type="character" w:styleId="Odwoanieprzypisukocowego">
    <w:name w:val="endnote reference"/>
    <w:uiPriority w:val="99"/>
    <w:semiHidden/>
    <w:unhideWhenUsed/>
    <w:rsid w:val="00242624"/>
    <w:rPr>
      <w:vertAlign w:val="superscript"/>
    </w:rPr>
  </w:style>
  <w:style w:type="paragraph" w:styleId="Tekstdymka">
    <w:name w:val="Balloon Text"/>
    <w:basedOn w:val="Normalny"/>
    <w:link w:val="TekstdymkaZnak"/>
    <w:uiPriority w:val="99"/>
    <w:semiHidden/>
    <w:unhideWhenUsed/>
    <w:rsid w:val="00126894"/>
    <w:rPr>
      <w:rFonts w:ascii="Tahoma" w:hAnsi="Tahoma" w:cs="Tahoma"/>
      <w:sz w:val="16"/>
      <w:szCs w:val="16"/>
    </w:rPr>
  </w:style>
  <w:style w:type="character" w:customStyle="1" w:styleId="TekstdymkaZnak">
    <w:name w:val="Tekst dymka Znak"/>
    <w:link w:val="Tekstdymka"/>
    <w:uiPriority w:val="99"/>
    <w:semiHidden/>
    <w:rsid w:val="001268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19A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C19AC"/>
    <w:pPr>
      <w:tabs>
        <w:tab w:val="center" w:pos="4536"/>
        <w:tab w:val="right" w:pos="9072"/>
      </w:tabs>
    </w:pPr>
  </w:style>
  <w:style w:type="character" w:customStyle="1" w:styleId="NagwekZnak">
    <w:name w:val="Nagłówek Znak"/>
    <w:link w:val="Nagwek"/>
    <w:rsid w:val="005C19AC"/>
    <w:rPr>
      <w:rFonts w:ascii="Times New Roman" w:eastAsia="Times New Roman" w:hAnsi="Times New Roman" w:cs="Times New Roman"/>
      <w:sz w:val="24"/>
      <w:szCs w:val="24"/>
      <w:lang w:eastAsia="pl-PL"/>
    </w:rPr>
  </w:style>
  <w:style w:type="paragraph" w:styleId="Stopka">
    <w:name w:val="footer"/>
    <w:basedOn w:val="Normalny"/>
    <w:link w:val="StopkaZnak"/>
    <w:rsid w:val="005C19AC"/>
    <w:pPr>
      <w:tabs>
        <w:tab w:val="center" w:pos="4536"/>
        <w:tab w:val="right" w:pos="9072"/>
      </w:tabs>
      <w:jc w:val="center"/>
    </w:pPr>
    <w:rPr>
      <w:sz w:val="20"/>
      <w:szCs w:val="20"/>
    </w:rPr>
  </w:style>
  <w:style w:type="character" w:customStyle="1" w:styleId="StopkaZnak">
    <w:name w:val="Stopka Znak"/>
    <w:link w:val="Stopka"/>
    <w:rsid w:val="005C19A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C19AC"/>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242624"/>
    <w:rPr>
      <w:sz w:val="20"/>
      <w:szCs w:val="20"/>
    </w:rPr>
  </w:style>
  <w:style w:type="character" w:customStyle="1" w:styleId="TekstprzypisukocowegoZnak">
    <w:name w:val="Tekst przypisu końcowego Znak"/>
    <w:link w:val="Tekstprzypisukocowego"/>
    <w:uiPriority w:val="99"/>
    <w:semiHidden/>
    <w:rsid w:val="00242624"/>
    <w:rPr>
      <w:rFonts w:ascii="Times New Roman" w:eastAsia="Times New Roman" w:hAnsi="Times New Roman"/>
    </w:rPr>
  </w:style>
  <w:style w:type="character" w:styleId="Odwoanieprzypisukocowego">
    <w:name w:val="endnote reference"/>
    <w:uiPriority w:val="99"/>
    <w:semiHidden/>
    <w:unhideWhenUsed/>
    <w:rsid w:val="00242624"/>
    <w:rPr>
      <w:vertAlign w:val="superscript"/>
    </w:rPr>
  </w:style>
  <w:style w:type="paragraph" w:styleId="Tekstdymka">
    <w:name w:val="Balloon Text"/>
    <w:basedOn w:val="Normalny"/>
    <w:link w:val="TekstdymkaZnak"/>
    <w:uiPriority w:val="99"/>
    <w:semiHidden/>
    <w:unhideWhenUsed/>
    <w:rsid w:val="00126894"/>
    <w:rPr>
      <w:rFonts w:ascii="Tahoma" w:hAnsi="Tahoma" w:cs="Tahoma"/>
      <w:sz w:val="16"/>
      <w:szCs w:val="16"/>
    </w:rPr>
  </w:style>
  <w:style w:type="character" w:customStyle="1" w:styleId="TekstdymkaZnak">
    <w:name w:val="Tekst dymka Znak"/>
    <w:link w:val="Tekstdymka"/>
    <w:uiPriority w:val="99"/>
    <w:semiHidden/>
    <w:rsid w:val="001268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3974">
      <w:bodyDiv w:val="1"/>
      <w:marLeft w:val="0"/>
      <w:marRight w:val="0"/>
      <w:marTop w:val="0"/>
      <w:marBottom w:val="0"/>
      <w:divBdr>
        <w:top w:val="none" w:sz="0" w:space="0" w:color="auto"/>
        <w:left w:val="none" w:sz="0" w:space="0" w:color="auto"/>
        <w:bottom w:val="none" w:sz="0" w:space="0" w:color="auto"/>
        <w:right w:val="none" w:sz="0" w:space="0" w:color="auto"/>
      </w:divBdr>
    </w:div>
    <w:div w:id="792134329">
      <w:bodyDiv w:val="1"/>
      <w:marLeft w:val="0"/>
      <w:marRight w:val="0"/>
      <w:marTop w:val="0"/>
      <w:marBottom w:val="0"/>
      <w:divBdr>
        <w:top w:val="none" w:sz="0" w:space="0" w:color="auto"/>
        <w:left w:val="none" w:sz="0" w:space="0" w:color="auto"/>
        <w:bottom w:val="none" w:sz="0" w:space="0" w:color="auto"/>
        <w:right w:val="none" w:sz="0" w:space="0" w:color="auto"/>
      </w:divBdr>
    </w:div>
    <w:div w:id="2015918289">
      <w:bodyDiv w:val="1"/>
      <w:marLeft w:val="0"/>
      <w:marRight w:val="0"/>
      <w:marTop w:val="0"/>
      <w:marBottom w:val="0"/>
      <w:divBdr>
        <w:top w:val="none" w:sz="0" w:space="0" w:color="auto"/>
        <w:left w:val="none" w:sz="0" w:space="0" w:color="auto"/>
        <w:bottom w:val="none" w:sz="0" w:space="0" w:color="auto"/>
        <w:right w:val="none" w:sz="0" w:space="0" w:color="auto"/>
      </w:divBdr>
    </w:div>
    <w:div w:id="2073001596">
      <w:bodyDiv w:val="1"/>
      <w:marLeft w:val="0"/>
      <w:marRight w:val="0"/>
      <w:marTop w:val="0"/>
      <w:marBottom w:val="0"/>
      <w:divBdr>
        <w:top w:val="none" w:sz="0" w:space="0" w:color="auto"/>
        <w:left w:val="none" w:sz="0" w:space="0" w:color="auto"/>
        <w:bottom w:val="none" w:sz="0" w:space="0" w:color="auto"/>
        <w:right w:val="none" w:sz="0" w:space="0" w:color="auto"/>
      </w:divBdr>
    </w:div>
    <w:div w:id="2137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90C6-3114-4207-B95D-96582823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7210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Pilch</dc:creator>
  <cp:lastModifiedBy>Agnieszka Strzemplewicz</cp:lastModifiedBy>
  <cp:revision>2</cp:revision>
  <cp:lastPrinted>2018-12-18T07:46:00Z</cp:lastPrinted>
  <dcterms:created xsi:type="dcterms:W3CDTF">2019-01-28T08:36:00Z</dcterms:created>
  <dcterms:modified xsi:type="dcterms:W3CDTF">2019-01-28T08:36:00Z</dcterms:modified>
</cp:coreProperties>
</file>