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62" w:rsidRDefault="00E07862" w:rsidP="00E07862">
      <w:pPr>
        <w:ind w:left="3240"/>
        <w:jc w:val="both"/>
      </w:pPr>
    </w:p>
    <w:p w:rsidR="00E07862" w:rsidRDefault="00E07862" w:rsidP="00E07862">
      <w:pPr>
        <w:ind w:left="3240"/>
        <w:jc w:val="both"/>
      </w:pPr>
      <w:r>
        <w:t xml:space="preserve">                                  Kraków, dnia  21 października 2019 r.</w:t>
      </w:r>
    </w:p>
    <w:p w:rsidR="00E07862" w:rsidRDefault="00E07862" w:rsidP="00E07862">
      <w:pPr>
        <w:ind w:left="3240"/>
        <w:jc w:val="both"/>
      </w:pPr>
    </w:p>
    <w:p w:rsidR="00E07862" w:rsidRDefault="00E07862" w:rsidP="00E07862">
      <w:pPr>
        <w:jc w:val="both"/>
      </w:pPr>
      <w:r>
        <w:t>OAP-II.420.22.2019</w:t>
      </w:r>
    </w:p>
    <w:p w:rsidR="00E07862" w:rsidRDefault="00E07862" w:rsidP="00E07862">
      <w:pPr>
        <w:spacing w:line="360" w:lineRule="auto"/>
        <w:ind w:left="3240"/>
        <w:jc w:val="both"/>
      </w:pPr>
    </w:p>
    <w:p w:rsidR="00E07862" w:rsidRDefault="00E07862" w:rsidP="00E07862">
      <w:pPr>
        <w:spacing w:line="360" w:lineRule="auto"/>
        <w:ind w:left="3240"/>
        <w:jc w:val="both"/>
      </w:pPr>
    </w:p>
    <w:p w:rsidR="00E07862" w:rsidRDefault="00E07862" w:rsidP="00E07862">
      <w:pPr>
        <w:spacing w:line="360" w:lineRule="auto"/>
        <w:ind w:left="3240"/>
        <w:jc w:val="center"/>
        <w:rPr>
          <w:b/>
        </w:rPr>
      </w:pPr>
      <w:r>
        <w:rPr>
          <w:b/>
        </w:rPr>
        <w:t xml:space="preserve">     Patroni Koordynatorzy</w:t>
      </w:r>
    </w:p>
    <w:p w:rsidR="00E07862" w:rsidRDefault="00E07862" w:rsidP="00E07862">
      <w:pPr>
        <w:spacing w:line="360" w:lineRule="auto"/>
        <w:ind w:left="3240"/>
        <w:rPr>
          <w:b/>
        </w:rPr>
      </w:pPr>
      <w:r>
        <w:rPr>
          <w:b/>
        </w:rPr>
        <w:t xml:space="preserve">                               oraz Patroni Praktyk</w:t>
      </w:r>
    </w:p>
    <w:p w:rsidR="00E07862" w:rsidRDefault="00E07862" w:rsidP="00E07862">
      <w:pPr>
        <w:spacing w:line="360" w:lineRule="auto"/>
        <w:ind w:left="3240"/>
        <w:jc w:val="center"/>
        <w:rPr>
          <w:b/>
        </w:rPr>
      </w:pPr>
      <w:r>
        <w:rPr>
          <w:b/>
        </w:rPr>
        <w:t xml:space="preserve">                           aplikantów aplikacji prokuratorskiej</w:t>
      </w:r>
    </w:p>
    <w:p w:rsidR="00E07862" w:rsidRDefault="00E07862" w:rsidP="00E07862">
      <w:pPr>
        <w:spacing w:line="360" w:lineRule="auto"/>
        <w:ind w:left="3240"/>
        <w:jc w:val="right"/>
        <w:rPr>
          <w:b/>
        </w:rPr>
      </w:pPr>
    </w:p>
    <w:p w:rsidR="00E07862" w:rsidRDefault="00E07862" w:rsidP="00E07862">
      <w:pPr>
        <w:spacing w:line="360" w:lineRule="auto"/>
        <w:ind w:left="3240"/>
        <w:jc w:val="both"/>
        <w:rPr>
          <w:b/>
        </w:rPr>
      </w:pPr>
      <w:r>
        <w:t xml:space="preserve">                                                                                                                                                                              </w:t>
      </w:r>
    </w:p>
    <w:p w:rsidR="00E07862" w:rsidRDefault="00E07862" w:rsidP="00E07862">
      <w:pPr>
        <w:spacing w:line="360" w:lineRule="auto"/>
        <w:jc w:val="both"/>
        <w:rPr>
          <w:b/>
        </w:rPr>
      </w:pPr>
      <w:r>
        <w:rPr>
          <w:b/>
        </w:rPr>
        <w:t>Dotyczy praktyk aplika</w:t>
      </w:r>
      <w:r w:rsidR="0026054D">
        <w:rPr>
          <w:b/>
        </w:rPr>
        <w:t xml:space="preserve">ntów aplikacji prokuratorskiej 9. </w:t>
      </w:r>
      <w:r>
        <w:rPr>
          <w:b/>
        </w:rPr>
        <w:t>rocznika po X</w:t>
      </w:r>
      <w:r w:rsidR="0026054D">
        <w:rPr>
          <w:b/>
        </w:rPr>
        <w:t>IX</w:t>
      </w:r>
      <w:r>
        <w:rPr>
          <w:b/>
        </w:rPr>
        <w:t xml:space="preserve"> zjeździe</w:t>
      </w:r>
    </w:p>
    <w:p w:rsidR="00E07862" w:rsidRDefault="00E07862" w:rsidP="00E07862">
      <w:pPr>
        <w:spacing w:line="360" w:lineRule="auto"/>
        <w:jc w:val="both"/>
        <w:rPr>
          <w:b/>
        </w:rPr>
      </w:pPr>
    </w:p>
    <w:p w:rsidR="00E07862" w:rsidRDefault="00E07862" w:rsidP="00E07862">
      <w:pPr>
        <w:spacing w:line="360" w:lineRule="auto"/>
        <w:ind w:left="3240"/>
        <w:jc w:val="both"/>
        <w:rPr>
          <w:b/>
        </w:rPr>
      </w:pPr>
    </w:p>
    <w:p w:rsidR="0026054D" w:rsidRPr="0026054D" w:rsidRDefault="00E07862" w:rsidP="0026054D">
      <w:pPr>
        <w:spacing w:line="360" w:lineRule="auto"/>
        <w:ind w:firstLine="284"/>
        <w:jc w:val="both"/>
        <w:rPr>
          <w:lang w:eastAsia="pl-PL"/>
        </w:rPr>
      </w:pPr>
      <w:r>
        <w:t>W oparciu o § 2, 9 i 10 zarządzenia Dyrektora Krajowej Szkoły Sądownictwa</w:t>
      </w:r>
      <w:r w:rsidR="0026054D">
        <w:t xml:space="preserve"> </w:t>
      </w:r>
      <w:r w:rsidR="0026054D">
        <w:br/>
      </w:r>
      <w: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w:t>
      </w:r>
      <w:r w:rsidR="0026054D" w:rsidRPr="0026054D">
        <w:rPr>
          <w:lang w:eastAsia="pl-PL"/>
        </w:rPr>
        <w:t xml:space="preserve">odbywanych od       </w:t>
      </w:r>
      <w:r w:rsidR="0026054D">
        <w:rPr>
          <w:lang w:eastAsia="pl-PL"/>
        </w:rPr>
        <w:t>2 do 13</w:t>
      </w:r>
      <w:r w:rsidR="0026054D" w:rsidRPr="0026054D">
        <w:rPr>
          <w:lang w:eastAsia="pl-PL"/>
        </w:rPr>
        <w:t xml:space="preserve">  grudnia 2019 roku </w:t>
      </w:r>
      <w:r w:rsidR="0026054D">
        <w:rPr>
          <w:lang w:eastAsia="pl-PL"/>
        </w:rPr>
        <w:t>w</w:t>
      </w:r>
      <w:r w:rsidR="0026054D" w:rsidRPr="0026054D">
        <w:rPr>
          <w:lang w:eastAsia="pl-PL"/>
        </w:rPr>
        <w:t xml:space="preserve"> prokuraturach okręgowych – komórkach organizacyjnych </w:t>
      </w:r>
      <w:r w:rsidR="0026054D">
        <w:rPr>
          <w:lang w:eastAsia="pl-PL"/>
        </w:rPr>
        <w:t xml:space="preserve">lub stanowiskach pracy </w:t>
      </w:r>
      <w:r w:rsidR="0026054D" w:rsidRPr="0026054D">
        <w:rPr>
          <w:lang w:eastAsia="pl-PL"/>
        </w:rPr>
        <w:t xml:space="preserve">realizujących </w:t>
      </w:r>
      <w:r w:rsidR="0026054D">
        <w:rPr>
          <w:lang w:eastAsia="pl-PL"/>
        </w:rPr>
        <w:t>zadania</w:t>
      </w:r>
      <w:r w:rsidR="0026054D" w:rsidRPr="0026054D">
        <w:rPr>
          <w:lang w:eastAsia="pl-PL"/>
        </w:rPr>
        <w:t xml:space="preserve"> w zakresie obrotu prawnego z zagranicą.</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 xml:space="preserve">Zasadniczym celem praktyk jest zaznajomienie aplikantów z czynnościami i metodyką pracy patrona oraz doskonalenie umiejętności wykorzystania wiedzy teoretycznej i znajomości orzecznictwa. Każdorazowo praktyka winna utrwalić wiedzę zdobytą podczas bezpośrednio poprzedzających ją zajęć seminaryjnych w ramach zjazdu. </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 xml:space="preserve">Przedmiotem XIX zjazdu aplikacji prokuratorskiej odbywającego się w dniach </w:t>
      </w:r>
      <w:r>
        <w:rPr>
          <w:lang w:eastAsia="pl-PL"/>
        </w:rPr>
        <w:t>25-29 listopada</w:t>
      </w:r>
      <w:r w:rsidRPr="0026054D">
        <w:rPr>
          <w:lang w:eastAsia="pl-PL"/>
        </w:rPr>
        <w:t xml:space="preserve"> 2019 r. są następujące zagadnienia:</w:t>
      </w:r>
    </w:p>
    <w:p w:rsidR="0026054D" w:rsidRPr="0026054D" w:rsidRDefault="0026054D" w:rsidP="0026054D">
      <w:pPr>
        <w:widowControl w:val="0"/>
        <w:suppressAutoHyphens w:val="0"/>
        <w:spacing w:line="360" w:lineRule="auto"/>
        <w:jc w:val="both"/>
        <w:rPr>
          <w:kern w:val="144"/>
          <w:u w:val="single"/>
          <w:lang w:eastAsia="pl-PL"/>
        </w:rPr>
      </w:pPr>
      <w:r w:rsidRPr="0026054D">
        <w:rPr>
          <w:b/>
          <w:kern w:val="144"/>
          <w:lang w:eastAsia="pl-PL"/>
        </w:rPr>
        <w:t>Prawo karne procesowe.</w:t>
      </w:r>
    </w:p>
    <w:p w:rsidR="0026054D" w:rsidRDefault="0026054D" w:rsidP="0026054D">
      <w:pPr>
        <w:widowControl w:val="0"/>
        <w:numPr>
          <w:ilvl w:val="0"/>
          <w:numId w:val="2"/>
        </w:numPr>
        <w:suppressAutoHyphens w:val="0"/>
        <w:spacing w:line="360" w:lineRule="auto"/>
        <w:jc w:val="both"/>
        <w:rPr>
          <w:rFonts w:eastAsia="Calibri"/>
          <w:kern w:val="144"/>
          <w:lang w:eastAsia="pl-PL"/>
        </w:rPr>
      </w:pPr>
      <w:r>
        <w:rPr>
          <w:rFonts w:eastAsia="Calibri"/>
          <w:kern w:val="144"/>
          <w:lang w:eastAsia="pl-PL"/>
        </w:rPr>
        <w:t xml:space="preserve">Postępowanie w sprawach karnych ze stosunków międzynarodowych, </w:t>
      </w:r>
      <w:r>
        <w:rPr>
          <w:rFonts w:eastAsia="Calibri"/>
          <w:kern w:val="144"/>
          <w:lang w:eastAsia="pl-PL"/>
        </w:rPr>
        <w:br/>
        <w:t>z uwzględnieniem:</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źródeł prawa i ich hierarchii,</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zasad obowiązujących w obrocie prawnym z zagranicą,</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przeglądu instrumentów obrotu prawnego z zagranicą,</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lastRenderedPageBreak/>
        <w:t>- immunitetów dyplomatycznych i konsularnych,</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xml:space="preserve">- instytucji wspierających współprace międzynarodową w sprawach karnych (Interpol, Europol, </w:t>
      </w:r>
      <w:proofErr w:type="spellStart"/>
      <w:r>
        <w:rPr>
          <w:rFonts w:eastAsia="Calibri"/>
          <w:kern w:val="144"/>
          <w:lang w:eastAsia="pl-PL"/>
        </w:rPr>
        <w:t>Eurojust</w:t>
      </w:r>
      <w:proofErr w:type="spellEnd"/>
      <w:r>
        <w:rPr>
          <w:rFonts w:eastAsia="Calibri"/>
          <w:kern w:val="144"/>
          <w:lang w:eastAsia="pl-PL"/>
        </w:rPr>
        <w:t>, Europejska Sieć Sądowa, OLAF)</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2. Międzynarodowa pomoc prawna i doręczenia w sprawach karnych. Wspólne zespoły śledcze.</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xml:space="preserve">3. Stosowanie zasady </w:t>
      </w:r>
      <w:proofErr w:type="spellStart"/>
      <w:r w:rsidRPr="0026054D">
        <w:rPr>
          <w:rFonts w:eastAsia="Calibri"/>
          <w:i/>
          <w:kern w:val="144"/>
          <w:lang w:eastAsia="pl-PL"/>
        </w:rPr>
        <w:t>ne</w:t>
      </w:r>
      <w:proofErr w:type="spellEnd"/>
      <w:r w:rsidRPr="0026054D">
        <w:rPr>
          <w:rFonts w:eastAsia="Calibri"/>
          <w:i/>
          <w:kern w:val="144"/>
          <w:lang w:eastAsia="pl-PL"/>
        </w:rPr>
        <w:t xml:space="preserve"> bis in </w:t>
      </w:r>
      <w:proofErr w:type="spellStart"/>
      <w:r w:rsidRPr="0026054D">
        <w:rPr>
          <w:rFonts w:eastAsia="Calibri"/>
          <w:i/>
          <w:kern w:val="144"/>
          <w:lang w:eastAsia="pl-PL"/>
        </w:rPr>
        <w:t>idem</w:t>
      </w:r>
      <w:proofErr w:type="spellEnd"/>
      <w:r>
        <w:rPr>
          <w:rFonts w:eastAsia="Calibri"/>
          <w:kern w:val="144"/>
          <w:lang w:eastAsia="pl-PL"/>
        </w:rPr>
        <w:t xml:space="preserve"> i rozwiązywanie konfliktów jurysdykcyjnych </w:t>
      </w:r>
      <w:r>
        <w:rPr>
          <w:rFonts w:eastAsia="Calibri"/>
          <w:kern w:val="144"/>
          <w:lang w:eastAsia="pl-PL"/>
        </w:rPr>
        <w:br/>
        <w:t>w państwach członkowskich Unii Europejskiej.</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4. Przejęcie i przekazanie ścigania karnego. Wnioski o wszczęcie ścigania.</w:t>
      </w:r>
    </w:p>
    <w:p w:rsidR="0026054D" w:rsidRDefault="0026054D" w:rsidP="0026054D">
      <w:pPr>
        <w:widowControl w:val="0"/>
        <w:suppressAutoHyphens w:val="0"/>
        <w:spacing w:line="360" w:lineRule="auto"/>
        <w:ind w:left="720"/>
        <w:jc w:val="both"/>
        <w:rPr>
          <w:rFonts w:eastAsia="Calibri"/>
          <w:kern w:val="144"/>
          <w:lang w:eastAsia="pl-PL"/>
        </w:rPr>
      </w:pPr>
      <w:r>
        <w:rPr>
          <w:rFonts w:eastAsia="Calibri"/>
          <w:kern w:val="144"/>
          <w:lang w:eastAsia="pl-PL"/>
        </w:rPr>
        <w:t xml:space="preserve">5. Europejski nakaz aresztowania i System Informacyjny </w:t>
      </w:r>
      <w:proofErr w:type="spellStart"/>
      <w:r>
        <w:rPr>
          <w:rFonts w:eastAsia="Calibri"/>
          <w:kern w:val="144"/>
          <w:lang w:eastAsia="pl-PL"/>
        </w:rPr>
        <w:t>Schengen</w:t>
      </w:r>
      <w:proofErr w:type="spellEnd"/>
      <w:r>
        <w:rPr>
          <w:rFonts w:eastAsia="Calibri"/>
          <w:kern w:val="144"/>
          <w:lang w:eastAsia="pl-PL"/>
        </w:rPr>
        <w:t xml:space="preserve"> (SIS). Poszukiwania międzynarodowe i ekstradycja. </w:t>
      </w:r>
    </w:p>
    <w:p w:rsidR="0026054D" w:rsidRPr="0026054D" w:rsidRDefault="0026054D" w:rsidP="0026054D">
      <w:pPr>
        <w:pStyle w:val="Akapitzlist"/>
        <w:widowControl w:val="0"/>
        <w:numPr>
          <w:ilvl w:val="0"/>
          <w:numId w:val="4"/>
        </w:numPr>
        <w:spacing w:after="0" w:line="360" w:lineRule="auto"/>
        <w:jc w:val="both"/>
        <w:rPr>
          <w:rFonts w:ascii="Times New Roman" w:eastAsia="Times New Roman" w:hAnsi="Times New Roman" w:cs="Times New Roman"/>
          <w:color w:val="000000"/>
          <w:kern w:val="144"/>
          <w:sz w:val="24"/>
          <w:szCs w:val="24"/>
          <w:lang w:eastAsia="pl-PL"/>
        </w:rPr>
      </w:pPr>
      <w:r>
        <w:rPr>
          <w:rFonts w:eastAsia="Calibri"/>
          <w:kern w:val="144"/>
          <w:lang w:eastAsia="pl-PL"/>
        </w:rPr>
        <w:t xml:space="preserve">6. </w:t>
      </w:r>
      <w:r w:rsidRPr="001476E2">
        <w:rPr>
          <w:rFonts w:ascii="Times New Roman" w:eastAsia="Times New Roman" w:hAnsi="Times New Roman" w:cs="Times New Roman"/>
          <w:color w:val="000000"/>
          <w:kern w:val="144"/>
          <w:sz w:val="24"/>
          <w:szCs w:val="24"/>
          <w:lang w:eastAsia="pl-PL"/>
        </w:rPr>
        <w:t>Pozostałe instrumenty współpracy międzynarodowej w sprawach karnych, z uwzględnieniem instrumentów opartych na zasadzie wzajemnego uznawania orzeczeń w Unii Europejskiej (wzajemne zatrzymywanie dowodów oraz wykonywanie postanowień o zabezpieczeniu mienia, wzajemne wykonywanie środków zapobiegawczych, wzajemne wykonywanie europejskiego nakazu ochrony i in.).</w:t>
      </w:r>
    </w:p>
    <w:p w:rsidR="0026054D" w:rsidRPr="0026054D" w:rsidRDefault="0026054D" w:rsidP="0026054D">
      <w:pPr>
        <w:widowControl w:val="0"/>
        <w:suppressAutoHyphens w:val="0"/>
        <w:spacing w:before="120" w:after="120" w:line="360" w:lineRule="auto"/>
        <w:jc w:val="both"/>
        <w:rPr>
          <w:rFonts w:eastAsia="Calibri"/>
          <w:kern w:val="144"/>
          <w:lang w:eastAsia="pl-PL"/>
        </w:rPr>
      </w:pPr>
      <w:r w:rsidRPr="0026054D">
        <w:rPr>
          <w:rFonts w:eastAsia="Calibri"/>
          <w:kern w:val="144"/>
          <w:lang w:eastAsia="pl-PL"/>
        </w:rPr>
        <w:t xml:space="preserve">  Celem praktyki aplikantów </w:t>
      </w:r>
      <w:r>
        <w:rPr>
          <w:rFonts w:eastAsia="Calibri"/>
          <w:kern w:val="144"/>
          <w:lang w:eastAsia="pl-PL"/>
        </w:rPr>
        <w:t>9.</w:t>
      </w:r>
      <w:r w:rsidRPr="0026054D">
        <w:rPr>
          <w:rFonts w:eastAsia="Calibri"/>
          <w:kern w:val="144"/>
          <w:lang w:eastAsia="pl-PL"/>
        </w:rPr>
        <w:t xml:space="preserve"> rocznika aplikacji prokuratorskiej po XIX zjeździe jest utrwalenie umiejętności sporządzania wniosku o </w:t>
      </w:r>
      <w:r>
        <w:rPr>
          <w:rFonts w:eastAsia="Calibri"/>
          <w:kern w:val="144"/>
          <w:lang w:eastAsia="pl-PL"/>
        </w:rPr>
        <w:t xml:space="preserve">międzynarodową </w:t>
      </w:r>
      <w:r w:rsidRPr="0026054D">
        <w:rPr>
          <w:rFonts w:eastAsia="Calibri"/>
          <w:kern w:val="144"/>
          <w:lang w:eastAsia="pl-PL"/>
        </w:rPr>
        <w:t xml:space="preserve">pomoc prawną  </w:t>
      </w:r>
      <w:r w:rsidR="00224A4A">
        <w:rPr>
          <w:rFonts w:eastAsia="Calibri"/>
          <w:kern w:val="144"/>
          <w:lang w:eastAsia="pl-PL"/>
        </w:rPr>
        <w:t xml:space="preserve">i innych pism procesowych kierowanych w obrocie prawnym z zagranicą </w:t>
      </w:r>
      <w:r w:rsidRPr="0026054D">
        <w:rPr>
          <w:rFonts w:eastAsia="Calibri"/>
          <w:kern w:val="144"/>
          <w:lang w:eastAsia="pl-PL"/>
        </w:rPr>
        <w:t>oraz zapoznanie aplikantów z metodyką postępowania karnego w stosunkach międzynarodowych.</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Patroni praktyk oraz patroni koordynatorzy w toku praktyki powinni zadbać o to, aby aplikanci mieli możliwość aktywnego zapoznania się z praktyczną stroną pracy prokuratora w zakresie objętym tematyką zjazdu. Ugruntowaniu tej tematyki winno służyć zapoznanie aplikantów z zasadami biurowości w sprawach dotyczących obrotu prawnego z zagranicą w sprawach karnych w postępowaniu przygotowawczym, w tym prowadzenia urządzeń ewidencyjnych dla rejestracji tej kategorii spraw.</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W ramach odbywanych praktyk w prokuraturach okręgowych aplikanci powinni mieć w szczególności możliwość zapoznania się z zasadami:</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prowadzenia korespondencji z organami zagranicznymi w sprawach prowadzonych przez prokuratury rejonowe, prokuratury okręgowe i prokuratury regionalne – szczególnie w zakresie kierowania wniosków o udzielenie pomocy prawnej w sprawach karnych przez organy zagraniczne,</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lastRenderedPageBreak/>
        <w:t>realizacji zagranicznych wniosków o udzielenie pomocy prawnej,</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dotyczącymi rejestrowania w prokuraturach okręgowych spraw z zakresu obrotu prawnego z zagranicą w repertoriach Oz,</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rejestrowania w prokuraturach okręgowych zagranicznych wniosków o udzielenie międzynarodowej pomocy prawnej,</w:t>
      </w:r>
    </w:p>
    <w:p w:rsidR="0026054D" w:rsidRPr="0026054D" w:rsidRDefault="00224A4A" w:rsidP="0026054D">
      <w:pPr>
        <w:numPr>
          <w:ilvl w:val="0"/>
          <w:numId w:val="3"/>
        </w:numPr>
        <w:suppressAutoHyphens w:val="0"/>
        <w:spacing w:before="120" w:after="120" w:line="360" w:lineRule="auto"/>
        <w:jc w:val="both"/>
        <w:rPr>
          <w:lang w:eastAsia="pl-PL"/>
        </w:rPr>
      </w:pPr>
      <w:r>
        <w:rPr>
          <w:lang w:eastAsia="pl-PL"/>
        </w:rPr>
        <w:t>rejestrowania w prokuraturach</w:t>
      </w:r>
      <w:r w:rsidR="0026054D" w:rsidRPr="0026054D">
        <w:rPr>
          <w:lang w:eastAsia="pl-PL"/>
        </w:rPr>
        <w:t xml:space="preserve"> spraw, w których strona polska przejęła ściganie albo do których wpłynęły materiały przekazane z zagranicy z wnioskiem o wszczęcie ścigania na podstawie art. 21 Konwencji Rady Europy z 1959 r. o pomocy prawnej w sprawach karnych (należy wskazywać różnice między wymienionymi instrumentami prawnymi dotyczące wszczęcia postępowania karnego i możliwych sposobów jego zakończenia),</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 xml:space="preserve">prowadzenia poszukiwań międzynarodowych koordynowanych przez biura Interpolu, oraz z wykorzystaniem Systemu Informacyjnego </w:t>
      </w:r>
      <w:proofErr w:type="spellStart"/>
      <w:r w:rsidRPr="0026054D">
        <w:rPr>
          <w:lang w:eastAsia="pl-PL"/>
        </w:rPr>
        <w:t>Schengen</w:t>
      </w:r>
      <w:proofErr w:type="spellEnd"/>
      <w:r w:rsidRPr="0026054D">
        <w:rPr>
          <w:lang w:eastAsia="pl-PL"/>
        </w:rPr>
        <w:t>,</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 xml:space="preserve">kierowania za granicę i realizacji zagranicznych wniosków ekstradycyjnych, </w:t>
      </w:r>
    </w:p>
    <w:p w:rsidR="0026054D" w:rsidRPr="0026054D" w:rsidRDefault="0026054D" w:rsidP="0026054D">
      <w:pPr>
        <w:numPr>
          <w:ilvl w:val="0"/>
          <w:numId w:val="3"/>
        </w:numPr>
        <w:suppressAutoHyphens w:val="0"/>
        <w:spacing w:before="120" w:after="120" w:line="360" w:lineRule="auto"/>
        <w:jc w:val="both"/>
        <w:rPr>
          <w:lang w:eastAsia="pl-PL"/>
        </w:rPr>
      </w:pPr>
      <w:r w:rsidRPr="0026054D">
        <w:rPr>
          <w:lang w:eastAsia="pl-PL"/>
        </w:rPr>
        <w:t>dotyczącymi rejestrowania spraw, w których kierowane są wnioski o wydanie ENA i wniosków organów zagranicznych o wydanie ENA.</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 xml:space="preserve">Wskazanym byłoby, aby aplikanci mieli stworzone warunki do samodzielnego sporządzenia co najmniej kilku wniosków o pomoc prawną po uprzedniej analizie akt spraw kierowanych do organów innych państw, a także do realizacji przez konsula RP. Należy zadbać także o to, aby podstawą realizacji wniosków o udzielenie pomocy prawnej w sprawie karnej były obowiązujące w międzynarodowym obrocie prawnym konwencje, w tym konwencje Rady Europy oraz umowy dwustronne odnoszące się do pomocy prawnej. Ważnym jest poznanie przez aplikantów zasad, które nakazują kierowanie niektórych wniosków za pośrednictwem Biura Współpracy Międzynarodowej Prokuratury Krajowej. </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W odniesieniu do projektów wszystkich rodzajów wniosków (pism) należy zadbać, aby były one formułowane na podstawie różnych kategorii spraw, charakteryzowały się różnym stopniem trudności, przy czym nacisk należy położyć na sprawy najbardziej typowe w bieżącej praktyce.</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 xml:space="preserve">Celowym jest umożliwienie aplikantowi zapoznania się z wnioskami o udzielenie pomocy prawnej skierowanymi przez inne państwa celem oceny ich podstawy prawnej i zakresu </w:t>
      </w:r>
      <w:r w:rsidRPr="0026054D">
        <w:rPr>
          <w:lang w:eastAsia="pl-PL"/>
        </w:rPr>
        <w:lastRenderedPageBreak/>
        <w:t>realizacji oraz wskazania organów właściwych do wykonania czynności ujętych we wniosku i nadania im właściwego biegu.</w:t>
      </w:r>
    </w:p>
    <w:p w:rsidR="0026054D" w:rsidRPr="0026054D" w:rsidRDefault="0026054D" w:rsidP="0026054D">
      <w:pPr>
        <w:widowControl w:val="0"/>
        <w:suppressAutoHyphens w:val="0"/>
        <w:spacing w:before="120" w:after="120" w:line="360" w:lineRule="auto"/>
        <w:ind w:firstLine="284"/>
        <w:jc w:val="both"/>
        <w:rPr>
          <w:rFonts w:eastAsia="Calibri"/>
          <w:kern w:val="144"/>
          <w:lang w:eastAsia="pl-PL"/>
        </w:rPr>
      </w:pPr>
      <w:r w:rsidRPr="0026054D">
        <w:rPr>
          <w:lang w:eastAsia="pl-PL"/>
        </w:rPr>
        <w:t xml:space="preserve">Aplikanci powinni samodzielnie, po uprzedniej analizie materiałów zgromadzonych w wyniku realizacji wniosków zagranicznych o udzielenie pomocy prawnej przygotować te materiały do przekazania zgodnie z zasadami obrotu prawnego z zagranicą i opracować projekty pism przewodnich. Istotnym jest również </w:t>
      </w:r>
      <w:r w:rsidRPr="0026054D">
        <w:rPr>
          <w:rFonts w:eastAsia="Calibri"/>
          <w:kern w:val="144"/>
          <w:lang w:eastAsia="pl-PL"/>
        </w:rPr>
        <w:t>przybliżenie aplikantom problematyki kierowania i wykonywania Europejskich Nakazów Dochodzeniowych (END). Ten nowy i bardzo ważny instrument współpracy międzynarodowej w sprawach karnych (funkcjonujący wewnątrz UE) jest także przedmiotem omówienia na zajęciach dotyczących międzynarodowej pomocy prawnej. Zaleca się również przedstawienie aplikantom formularza Europejskiego Nakazu Dochodzeniowego (END).</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Analogiczne czynności należy zlecać aplikantom w sprawach, w których ma nastąpić przekazanie ścigania organom zagranicznym. Aplikanci powinni dokonać oceny istnienia przesłanek uzasadniających przekazanie ścigania, a także przedstawić propozycje rozstrzygnięć w zakresie środków zapobiegawczych, dowodów rzeczowych oraz sposobu przygotowania materiału dowodowego w odpisach akt głównych.</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Wskazanym jest także, aby aplikanci opracowywali projekty wniosków o przejęcie ścigania z uwzględnieniem trybu przekazywania ścigania właściwego przy stosowaniu tego instrumentu prawnego w obrocie z poszczególnymi państwami.</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Aplikanci powinni posiąść umiejętność analizy akt spraw, w których strona polska przejęła ściganie, w tym w zakresie podstawy prawnej przejęcia oraz możliwości wykorzystania materiału dowodowego zgromadzonego przez organy zagraniczne przed przejęciem ścigania.</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Winni oni mieć także możliwość analizy spraw, w których przewiduje się skierowanie do organów zagranicznych wniosków o wszczęcie ścigania oraz opracowania projektu takiego wniosku.</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Nadto w ramach praktyki aplikanci powinni zapoznać się także z aktami spraw, w których realizacja wniosków o udzielenie pomocy prawnej wymagała współpracy z EJN i/lub </w:t>
      </w:r>
      <w:proofErr w:type="spellStart"/>
      <w:r w:rsidRPr="0026054D">
        <w:rPr>
          <w:lang w:eastAsia="pl-PL"/>
        </w:rPr>
        <w:t>Eurojust</w:t>
      </w:r>
      <w:proofErr w:type="spellEnd"/>
      <w:r w:rsidRPr="0026054D">
        <w:rPr>
          <w:lang w:eastAsia="pl-PL"/>
        </w:rPr>
        <w:t xml:space="preserve"> oraz, w miarę możliwości, z aktami postępowań zainicjowanych w wyniku działań OLAF (lub postępowań, w których przeprowadzano działania po uzyskaniu wsparcia ze strony tej instytucji UE).</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lastRenderedPageBreak/>
        <w:t>Aplikantom należy także umożliwić zapoznanie się z aktami innych postępowań w sprawach karnych ze stosunków międzynarodowych dotyczących poszukiwań międzynarodowych, europejskiego nakazu aresztowania i ekstradycji.</w:t>
      </w:r>
    </w:p>
    <w:p w:rsidR="0026054D" w:rsidRPr="0026054D" w:rsidRDefault="0026054D" w:rsidP="0026054D">
      <w:pPr>
        <w:widowControl w:val="0"/>
        <w:suppressAutoHyphens w:val="0"/>
        <w:spacing w:before="120" w:after="120" w:line="360" w:lineRule="auto"/>
        <w:ind w:firstLine="284"/>
        <w:jc w:val="both"/>
        <w:rPr>
          <w:rFonts w:eastAsia="Calibri"/>
          <w:kern w:val="144"/>
          <w:lang w:eastAsia="pl-PL"/>
        </w:rPr>
      </w:pPr>
      <w:r w:rsidRPr="0026054D">
        <w:rPr>
          <w:lang w:eastAsia="pl-PL"/>
        </w:rPr>
        <w:t>Jeśli będzie to możliwe na gruncie prowadzonych w Państwa jednostkach postępowań karnych, aplikantom należy przybliżyć również tematykę s</w:t>
      </w:r>
      <w:r w:rsidRPr="0026054D">
        <w:rPr>
          <w:rFonts w:eastAsia="Calibri"/>
          <w:kern w:val="144"/>
          <w:lang w:eastAsia="pl-PL"/>
        </w:rPr>
        <w:t xml:space="preserve">tosowania innych instytucji prawnych objętych zakresem obrotu prawnego z zagranicą prowadzonego w sprawach karnych, ze szczególnym uwzględnieniem Europejskiego Nakazu Ochrony, tj. instrumentu uregulowanego w rozdziałach 66j i 66k kodeksu postępowania karnego. </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Istotnym przy ocenie przez patronów praktyk prac wykonywanych przez aplikantów, zwłaszcza projektów sporządzanych przez nich pism jest zwracanie uwagi nie tylko na merytoryczną trafność i formalną poprawność samego rozstrzygnięcia, ale i na rodzaj użytej argumentacji, logikę i poprawność językową. Celem przedmiotowej praktyki jest bowiem również wykształcenie u aplikantów umiejętności właściwej oceny prawnej decyzji podejmowanych w toku postępowania w sprawach karnych, obrony własnego stanowiska w sprawie oraz zastosowania prawidłowej argumentacji.</w:t>
      </w:r>
    </w:p>
    <w:p w:rsidR="0026054D" w:rsidRPr="0026054D" w:rsidRDefault="0026054D" w:rsidP="0026054D">
      <w:pPr>
        <w:suppressAutoHyphens w:val="0"/>
        <w:spacing w:before="120" w:after="120" w:line="360" w:lineRule="auto"/>
        <w:ind w:firstLine="284"/>
        <w:jc w:val="both"/>
        <w:rPr>
          <w:lang w:eastAsia="pl-PL"/>
        </w:rPr>
      </w:pPr>
      <w:bookmarkStart w:id="0" w:name="_GoBack"/>
      <w:bookmarkEnd w:id="0"/>
      <w:r w:rsidRPr="0026054D">
        <w:rPr>
          <w:lang w:eastAsia="pl-PL"/>
        </w:rPr>
        <w:t xml:space="preserve">Uprzejmie informuję, że przedmiotem sprawdzianu wiedzy, który aplikanci będą pisać po odbyciu praktyk po XIX zjeździe, tj. w dniu </w:t>
      </w:r>
      <w:r w:rsidR="00224A4A">
        <w:rPr>
          <w:lang w:eastAsia="pl-PL"/>
        </w:rPr>
        <w:t>16 grudnia 2019</w:t>
      </w:r>
      <w:r w:rsidRPr="0026054D">
        <w:rPr>
          <w:lang w:eastAsia="pl-PL"/>
        </w:rPr>
        <w:t xml:space="preserve"> r. będzie sporządzenie projektu </w:t>
      </w:r>
      <w:r w:rsidR="00224A4A">
        <w:rPr>
          <w:lang w:eastAsia="pl-PL"/>
        </w:rPr>
        <w:t>wniosku o zagraniczna pomoc prawną.</w:t>
      </w:r>
      <w:r w:rsidRPr="0026054D">
        <w:rPr>
          <w:lang w:eastAsia="pl-PL"/>
        </w:rPr>
        <w:t xml:space="preserve"> Dlatego ważnym jest, aby aplikanci podczas praktyk opanowali tę umiejętność w jak najwyższym stopniu.</w:t>
      </w:r>
    </w:p>
    <w:p w:rsidR="0026054D" w:rsidRPr="0026054D" w:rsidRDefault="0026054D" w:rsidP="0026054D">
      <w:pPr>
        <w:suppressAutoHyphens w:val="0"/>
        <w:spacing w:before="120" w:after="120" w:line="360" w:lineRule="auto"/>
        <w:ind w:firstLine="284"/>
        <w:jc w:val="both"/>
        <w:rPr>
          <w:lang w:eastAsia="pl-PL"/>
        </w:rPr>
      </w:pPr>
      <w:r w:rsidRPr="0026054D">
        <w:rPr>
          <w:lang w:eastAsia="pl-PL"/>
        </w:rPr>
        <w:t>Zaznaczam na koniec, że patronami aplikantów powinni być wyłącznie prokuratorzy koordynujący w poszczególnych okręgach prowadzenie obrotu prawnego z zagranicą.</w:t>
      </w:r>
    </w:p>
    <w:p w:rsidR="00E07862" w:rsidRDefault="00E07862" w:rsidP="0026054D">
      <w:pPr>
        <w:spacing w:line="360" w:lineRule="auto"/>
        <w:ind w:firstLine="708"/>
        <w:jc w:val="both"/>
      </w:pPr>
    </w:p>
    <w:p w:rsidR="00E07862" w:rsidRPr="00411929" w:rsidRDefault="00224A4A" w:rsidP="00E07862">
      <w:pPr>
        <w:ind w:left="3540" w:firstLine="708"/>
        <w:contextualSpacing/>
        <w:jc w:val="center"/>
      </w:pPr>
      <w:r>
        <w:t>Kierownik</w:t>
      </w:r>
    </w:p>
    <w:p w:rsidR="00E07862" w:rsidRPr="00411929" w:rsidRDefault="00E07862" w:rsidP="00E07862">
      <w:pPr>
        <w:ind w:left="3540" w:firstLine="708"/>
        <w:contextualSpacing/>
        <w:jc w:val="center"/>
      </w:pPr>
      <w:r w:rsidRPr="00411929">
        <w:t>Działu Dydaktycznego OAP</w:t>
      </w:r>
    </w:p>
    <w:p w:rsidR="00E07862" w:rsidRPr="00411929" w:rsidRDefault="00E07862" w:rsidP="00E07862">
      <w:pPr>
        <w:contextualSpacing/>
        <w:jc w:val="center"/>
      </w:pPr>
    </w:p>
    <w:p w:rsidR="00E07862" w:rsidRPr="00411929" w:rsidRDefault="00E07862" w:rsidP="00E07862">
      <w:pPr>
        <w:ind w:left="3540" w:firstLine="708"/>
        <w:contextualSpacing/>
        <w:jc w:val="center"/>
      </w:pPr>
      <w:r w:rsidRPr="00411929">
        <w:t>Marta Zin</w:t>
      </w:r>
    </w:p>
    <w:p w:rsidR="00E07862" w:rsidRDefault="00E07862" w:rsidP="00E07862">
      <w:pPr>
        <w:ind w:left="2832" w:firstLine="708"/>
        <w:contextualSpacing/>
        <w:jc w:val="center"/>
      </w:pPr>
      <w:r>
        <w:t xml:space="preserve">             </w:t>
      </w:r>
      <w:r w:rsidRPr="00411929">
        <w:t>prokurator</w:t>
      </w:r>
    </w:p>
    <w:p w:rsidR="00860429" w:rsidRDefault="00860429"/>
    <w:sectPr w:rsidR="00860429">
      <w:headerReference w:type="default" r:id="rId8"/>
      <w:footerReference w:type="default" r:id="rId9"/>
      <w:headerReference w:type="first" r:id="rId10"/>
      <w:footerReference w:type="first" r:id="rId11"/>
      <w:pgSz w:w="11906" w:h="16838"/>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3E5" w:rsidRDefault="00B023E5">
      <w:r>
        <w:separator/>
      </w:r>
    </w:p>
  </w:endnote>
  <w:endnote w:type="continuationSeparator" w:id="0">
    <w:p w:rsidR="00B023E5" w:rsidRDefault="00B0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0B3CDC">
    <w:pPr>
      <w:pStyle w:val="Stopka"/>
    </w:pPr>
    <w:r>
      <w:fldChar w:fldCharType="begin"/>
    </w:r>
    <w:r>
      <w:instrText xml:space="preserve"> PAGE </w:instrText>
    </w:r>
    <w:r>
      <w:fldChar w:fldCharType="separate"/>
    </w:r>
    <w:r w:rsidR="00224A4A">
      <w:rPr>
        <w:noProof/>
      </w:rPr>
      <w:t>3</w:t>
    </w:r>
    <w:r>
      <w:fldChar w:fldCharType="end"/>
    </w:r>
  </w:p>
  <w:p w:rsidR="00CC7ECC" w:rsidRDefault="00B023E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Layout w:type="fixed"/>
      <w:tblCellMar>
        <w:left w:w="70" w:type="dxa"/>
        <w:right w:w="70" w:type="dxa"/>
      </w:tblCellMar>
      <w:tblLook w:val="0000" w:firstRow="0" w:lastRow="0" w:firstColumn="0" w:lastColumn="0" w:noHBand="0" w:noVBand="0"/>
    </w:tblPr>
    <w:tblGrid>
      <w:gridCol w:w="5099"/>
    </w:tblGrid>
    <w:tr w:rsidR="00CC7ECC">
      <w:trPr>
        <w:trHeight w:val="23"/>
      </w:trPr>
      <w:tc>
        <w:tcPr>
          <w:tcW w:w="5099" w:type="dxa"/>
          <w:tcBorders>
            <w:top w:val="thinThickSmallGap" w:sz="12" w:space="0" w:color="000000"/>
          </w:tcBorders>
          <w:shd w:val="clear" w:color="auto" w:fill="auto"/>
        </w:tcPr>
        <w:p w:rsidR="00CC7ECC" w:rsidRDefault="00B023E5">
          <w:pPr>
            <w:pStyle w:val="Stopka"/>
            <w:snapToGrid w:val="0"/>
            <w:jc w:val="left"/>
          </w:pPr>
        </w:p>
      </w:tc>
    </w:tr>
  </w:tbl>
  <w:p w:rsidR="00CC7ECC" w:rsidRDefault="000B3CDC">
    <w:pPr>
      <w:pStyle w:val="Stopka"/>
      <w:rPr>
        <w:sz w:val="18"/>
        <w:szCs w:val="18"/>
      </w:rPr>
    </w:pPr>
    <w:r>
      <w:rPr>
        <w:sz w:val="18"/>
        <w:szCs w:val="18"/>
      </w:rPr>
      <w:t>Krajowa Szkoła Sądownictwa i Prokuratury</w:t>
    </w:r>
  </w:p>
  <w:p w:rsidR="00CC7ECC" w:rsidRDefault="000B3CDC">
    <w:pPr>
      <w:pStyle w:val="Stopka"/>
      <w:rPr>
        <w:sz w:val="18"/>
        <w:szCs w:val="18"/>
      </w:rPr>
    </w:pPr>
    <w:r>
      <w:rPr>
        <w:sz w:val="18"/>
        <w:szCs w:val="18"/>
      </w:rPr>
      <w:t>ul. Przy Rondzie 5, 31-547 Kraków</w:t>
    </w:r>
  </w:p>
  <w:p w:rsidR="00CC7ECC" w:rsidRDefault="00B023E5">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3E5" w:rsidRDefault="00B023E5">
      <w:r>
        <w:separator/>
      </w:r>
    </w:p>
  </w:footnote>
  <w:footnote w:type="continuationSeparator" w:id="0">
    <w:p w:rsidR="00B023E5" w:rsidRDefault="00B02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0B3CDC">
    <w:pPr>
      <w:pStyle w:val="Nagwek"/>
      <w:jc w:val="right"/>
    </w:pPr>
    <w:r>
      <w:rPr>
        <w:rFonts w:ascii="Century Gothic" w:hAnsi="Century Gothic" w:cs="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E07862">
    <w:pPr>
      <w:pStyle w:val="Nagwek"/>
      <w:tabs>
        <w:tab w:val="center" w:pos="1080"/>
        <w:tab w:val="left" w:pos="1440"/>
        <w:tab w:val="right" w:pos="5103"/>
        <w:tab w:val="left" w:pos="10527"/>
      </w:tabs>
      <w:ind w:left="-851" w:right="5526"/>
      <w:rPr>
        <w:rFonts w:ascii="Century Gothic" w:eastAsia="Century Gothic" w:hAnsi="Century Gothic" w:cs="Century Gothic"/>
        <w:spacing w:val="20"/>
        <w:sz w:val="30"/>
        <w:szCs w:val="30"/>
      </w:rPr>
    </w:pPr>
    <w:r>
      <w:rPr>
        <w:noProof/>
        <w:lang w:eastAsia="pl-PL"/>
      </w:rPr>
      <w:drawing>
        <wp:anchor distT="0" distB="0" distL="114935" distR="114935" simplePos="0" relativeHeight="251659264" behindDoc="0" locked="0" layoutInCell="1" allowOverlap="1">
          <wp:simplePos x="0" y="0"/>
          <wp:positionH relativeFrom="column">
            <wp:posOffset>621665</wp:posOffset>
          </wp:positionH>
          <wp:positionV relativeFrom="paragraph">
            <wp:posOffset>-172085</wp:posOffset>
          </wp:positionV>
          <wp:extent cx="499110" cy="47498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74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C7ECC" w:rsidRDefault="000B3CDC">
    <w:pPr>
      <w:pStyle w:val="Nagwek"/>
      <w:tabs>
        <w:tab w:val="center" w:pos="1080"/>
        <w:tab w:val="left" w:pos="1440"/>
        <w:tab w:val="right" w:pos="5103"/>
        <w:tab w:val="left" w:pos="10527"/>
      </w:tabs>
      <w:ind w:left="-851" w:right="5526"/>
      <w:rPr>
        <w:rFonts w:ascii="Century Gothic" w:hAnsi="Century Gothic" w:cs="Century Gothic"/>
        <w:b/>
        <w:spacing w:val="20"/>
        <w:sz w:val="8"/>
        <w:szCs w:val="8"/>
      </w:rPr>
    </w:pPr>
    <w:r>
      <w:rPr>
        <w:rFonts w:ascii="Century Gothic" w:eastAsia="Century Gothic" w:hAnsi="Century Gothic" w:cs="Century Gothic"/>
        <w:b/>
        <w:spacing w:val="20"/>
        <w:sz w:val="30"/>
        <w:szCs w:val="30"/>
      </w:rPr>
      <w:t xml:space="preserve"> </w:t>
    </w:r>
  </w:p>
  <w:p w:rsidR="00CC7ECC" w:rsidRDefault="00B023E5">
    <w:pPr>
      <w:pStyle w:val="Nagwek"/>
      <w:ind w:left="-851" w:right="5526"/>
      <w:jc w:val="center"/>
      <w:rPr>
        <w:rFonts w:ascii="Century Gothic" w:hAnsi="Century Gothic" w:cs="Century Gothic"/>
        <w:b/>
        <w:spacing w:val="20"/>
        <w:sz w:val="8"/>
        <w:szCs w:val="8"/>
      </w:rPr>
    </w:pPr>
  </w:p>
  <w:p w:rsidR="00CC7ECC" w:rsidRDefault="000B3CDC">
    <w:pPr>
      <w:pStyle w:val="Nagwek"/>
      <w:ind w:left="-851" w:right="5526"/>
      <w:jc w:val="center"/>
      <w:rPr>
        <w:b/>
      </w:rPr>
    </w:pPr>
    <w:r>
      <w:rPr>
        <w:b/>
      </w:rPr>
      <w:t>KRAJOWA SZKOŁA</w:t>
    </w:r>
  </w:p>
  <w:p w:rsidR="00CC7ECC" w:rsidRDefault="000B3CDC">
    <w:pPr>
      <w:pStyle w:val="Nagwek"/>
      <w:ind w:left="-851" w:right="5526"/>
      <w:jc w:val="center"/>
      <w:rPr>
        <w:rFonts w:ascii="Century Gothic" w:hAnsi="Century Gothic" w:cs="Century Gothic"/>
        <w:b/>
        <w:sz w:val="18"/>
        <w:szCs w:val="18"/>
      </w:rPr>
    </w:pPr>
    <w:r>
      <w:rPr>
        <w:b/>
      </w:rPr>
      <w:t>SĄDOWNICTWA I PROKURATURY</w:t>
    </w:r>
  </w:p>
  <w:p w:rsidR="00CC7ECC" w:rsidRDefault="00B023E5">
    <w:pPr>
      <w:pStyle w:val="Nagwek"/>
      <w:tabs>
        <w:tab w:val="center" w:pos="1080"/>
        <w:tab w:val="left" w:pos="1440"/>
        <w:tab w:val="left" w:pos="10527"/>
      </w:tabs>
      <w:rPr>
        <w:rFonts w:ascii="Century Gothic" w:hAnsi="Century Gothic" w:cs="Century Gothic"/>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nsid w:val="089F71F5"/>
    <w:multiLevelType w:val="hybridMultilevel"/>
    <w:tmpl w:val="0400A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1C176CF"/>
    <w:multiLevelType w:val="hybridMultilevel"/>
    <w:tmpl w:val="46C0C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EB63771"/>
    <w:multiLevelType w:val="hybridMultilevel"/>
    <w:tmpl w:val="9502E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62"/>
    <w:rsid w:val="000B3CDC"/>
    <w:rsid w:val="00224A4A"/>
    <w:rsid w:val="0026054D"/>
    <w:rsid w:val="00860429"/>
    <w:rsid w:val="00B023E5"/>
    <w:rsid w:val="00E0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862"/>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7862"/>
  </w:style>
  <w:style w:type="character" w:customStyle="1" w:styleId="NagwekZnak">
    <w:name w:val="Nagłówek Znak"/>
    <w:basedOn w:val="Domylnaczcionkaakapitu"/>
    <w:link w:val="Nagwek"/>
    <w:rsid w:val="00E07862"/>
    <w:rPr>
      <w:rFonts w:ascii="Times New Roman" w:eastAsia="Times New Roman" w:hAnsi="Times New Roman" w:cs="Times New Roman"/>
      <w:sz w:val="24"/>
      <w:szCs w:val="24"/>
      <w:lang w:eastAsia="zh-CN"/>
    </w:rPr>
  </w:style>
  <w:style w:type="paragraph" w:styleId="Stopka">
    <w:name w:val="footer"/>
    <w:basedOn w:val="Normalny"/>
    <w:link w:val="StopkaZnak"/>
    <w:rsid w:val="00E07862"/>
    <w:pPr>
      <w:jc w:val="center"/>
    </w:pPr>
    <w:rPr>
      <w:sz w:val="20"/>
      <w:szCs w:val="20"/>
    </w:rPr>
  </w:style>
  <w:style w:type="character" w:customStyle="1" w:styleId="StopkaZnak">
    <w:name w:val="Stopka Znak"/>
    <w:basedOn w:val="Domylnaczcionkaakapitu"/>
    <w:link w:val="Stopka"/>
    <w:rsid w:val="00E07862"/>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26054D"/>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7862"/>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7862"/>
  </w:style>
  <w:style w:type="character" w:customStyle="1" w:styleId="NagwekZnak">
    <w:name w:val="Nagłówek Znak"/>
    <w:basedOn w:val="Domylnaczcionkaakapitu"/>
    <w:link w:val="Nagwek"/>
    <w:rsid w:val="00E07862"/>
    <w:rPr>
      <w:rFonts w:ascii="Times New Roman" w:eastAsia="Times New Roman" w:hAnsi="Times New Roman" w:cs="Times New Roman"/>
      <w:sz w:val="24"/>
      <w:szCs w:val="24"/>
      <w:lang w:eastAsia="zh-CN"/>
    </w:rPr>
  </w:style>
  <w:style w:type="paragraph" w:styleId="Stopka">
    <w:name w:val="footer"/>
    <w:basedOn w:val="Normalny"/>
    <w:link w:val="StopkaZnak"/>
    <w:rsid w:val="00E07862"/>
    <w:pPr>
      <w:jc w:val="center"/>
    </w:pPr>
    <w:rPr>
      <w:sz w:val="20"/>
      <w:szCs w:val="20"/>
    </w:rPr>
  </w:style>
  <w:style w:type="character" w:customStyle="1" w:styleId="StopkaZnak">
    <w:name w:val="Stopka Znak"/>
    <w:basedOn w:val="Domylnaczcionkaakapitu"/>
    <w:link w:val="Stopka"/>
    <w:rsid w:val="00E07862"/>
    <w:rPr>
      <w:rFonts w:ascii="Times New Roman" w:eastAsia="Times New Roman" w:hAnsi="Times New Roman" w:cs="Times New Roman"/>
      <w:sz w:val="20"/>
      <w:szCs w:val="20"/>
      <w:lang w:eastAsia="zh-CN"/>
    </w:rPr>
  </w:style>
  <w:style w:type="paragraph" w:styleId="Akapitzlist">
    <w:name w:val="List Paragraph"/>
    <w:basedOn w:val="Normalny"/>
    <w:uiPriority w:val="34"/>
    <w:qFormat/>
    <w:rsid w:val="0026054D"/>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1428</Words>
  <Characters>8573</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2</cp:revision>
  <dcterms:created xsi:type="dcterms:W3CDTF">2019-10-21T11:59:00Z</dcterms:created>
  <dcterms:modified xsi:type="dcterms:W3CDTF">2019-10-22T11:29:00Z</dcterms:modified>
</cp:coreProperties>
</file>