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5CE" w:rsidRDefault="00284F06" w:rsidP="002705CE">
      <w:pPr>
        <w:spacing w:after="120" w:line="276" w:lineRule="auto"/>
      </w:pPr>
      <w:bookmarkStart w:id="0" w:name="_GoBack"/>
      <w:bookmarkEnd w:id="0"/>
      <w:r>
        <w:t>OAP-II.420.39.2021</w:t>
      </w:r>
      <w:r w:rsidR="002705CE">
        <w:t xml:space="preserve"> </w:t>
      </w:r>
      <w:r w:rsidR="002705CE">
        <w:tab/>
      </w:r>
      <w:r w:rsidR="002705CE">
        <w:tab/>
      </w:r>
      <w:r w:rsidR="002705CE">
        <w:tab/>
      </w:r>
      <w:r w:rsidR="002705CE">
        <w:tab/>
      </w:r>
      <w:r>
        <w:tab/>
      </w:r>
      <w:r>
        <w:tab/>
        <w:t xml:space="preserve">Kraków, dnia </w:t>
      </w:r>
      <w:r w:rsidR="00DF6B8E">
        <w:t>21</w:t>
      </w:r>
      <w:r w:rsidR="00282679">
        <w:t xml:space="preserve"> </w:t>
      </w:r>
      <w:r>
        <w:t>września 2021</w:t>
      </w:r>
      <w:r w:rsidR="002705CE">
        <w:t xml:space="preserve"> r.</w:t>
      </w:r>
    </w:p>
    <w:p w:rsidR="002705CE" w:rsidRDefault="002705CE" w:rsidP="002705CE">
      <w:pPr>
        <w:tabs>
          <w:tab w:val="left" w:pos="4820"/>
        </w:tabs>
        <w:spacing w:after="120" w:line="276" w:lineRule="auto"/>
        <w:rPr>
          <w:b/>
        </w:rPr>
      </w:pPr>
    </w:p>
    <w:p w:rsidR="002705CE" w:rsidRDefault="002705CE" w:rsidP="002705CE">
      <w:pPr>
        <w:tabs>
          <w:tab w:val="left" w:pos="4820"/>
        </w:tabs>
        <w:spacing w:after="120" w:line="276" w:lineRule="auto"/>
        <w:jc w:val="center"/>
        <w:rPr>
          <w:b/>
        </w:rPr>
      </w:pPr>
    </w:p>
    <w:p w:rsidR="002705CE" w:rsidRDefault="002705CE" w:rsidP="002705CE">
      <w:pPr>
        <w:tabs>
          <w:tab w:val="left" w:pos="4820"/>
        </w:tabs>
        <w:spacing w:after="120" w:line="276" w:lineRule="auto"/>
        <w:jc w:val="center"/>
        <w:rPr>
          <w:b/>
        </w:rPr>
      </w:pPr>
      <w:r>
        <w:rPr>
          <w:b/>
        </w:rPr>
        <w:t xml:space="preserve"> Państwo</w:t>
      </w:r>
      <w:r>
        <w:rPr>
          <w:b/>
        </w:rPr>
        <w:br/>
        <w:t xml:space="preserve">                          Patroni koordynatorzy</w:t>
      </w:r>
      <w:r>
        <w:rPr>
          <w:b/>
        </w:rPr>
        <w:br/>
        <w:t xml:space="preserve">                                           oraz Patroni praktyk aplikantów</w:t>
      </w:r>
    </w:p>
    <w:p w:rsidR="002705CE" w:rsidRDefault="002705CE" w:rsidP="002705CE">
      <w:pPr>
        <w:tabs>
          <w:tab w:val="left" w:pos="4820"/>
        </w:tabs>
        <w:spacing w:after="120" w:line="276" w:lineRule="auto"/>
        <w:jc w:val="center"/>
        <w:rPr>
          <w:b/>
        </w:rPr>
      </w:pPr>
      <w:r>
        <w:rPr>
          <w:b/>
        </w:rPr>
        <w:t xml:space="preserve">                                                        aplikacji </w:t>
      </w:r>
      <w:r w:rsidRPr="007E0276">
        <w:rPr>
          <w:b/>
        </w:rPr>
        <w:t xml:space="preserve">uzupełniającej </w:t>
      </w:r>
      <w:r>
        <w:rPr>
          <w:b/>
        </w:rPr>
        <w:t>prokuratorskiej</w:t>
      </w:r>
    </w:p>
    <w:p w:rsidR="002705CE" w:rsidRDefault="002705CE" w:rsidP="002705CE">
      <w:pPr>
        <w:spacing w:after="120" w:line="276" w:lineRule="auto"/>
        <w:ind w:left="4248"/>
        <w:rPr>
          <w:b/>
        </w:rPr>
      </w:pPr>
    </w:p>
    <w:p w:rsidR="002705CE" w:rsidRDefault="002705CE" w:rsidP="002705CE">
      <w:pPr>
        <w:spacing w:after="120" w:line="276" w:lineRule="auto"/>
        <w:jc w:val="both"/>
        <w:rPr>
          <w:b/>
          <w:i/>
        </w:rPr>
      </w:pPr>
    </w:p>
    <w:p w:rsidR="002705CE" w:rsidRDefault="00284F06" w:rsidP="002705CE">
      <w:pPr>
        <w:spacing w:after="120" w:line="276" w:lineRule="auto"/>
      </w:pPr>
      <w:r>
        <w:rPr>
          <w:b/>
          <w:i/>
        </w:rPr>
        <w:t>Dotyczy praktyk aplikantów 2</w:t>
      </w:r>
      <w:r w:rsidR="002705CE">
        <w:rPr>
          <w:b/>
          <w:i/>
        </w:rPr>
        <w:t xml:space="preserve"> rocznika aplikacji </w:t>
      </w:r>
      <w:r w:rsidR="002705CE" w:rsidRPr="005A4F4B">
        <w:rPr>
          <w:b/>
          <w:i/>
        </w:rPr>
        <w:t xml:space="preserve">uzupełniającej </w:t>
      </w:r>
      <w:r w:rsidR="002705CE">
        <w:rPr>
          <w:b/>
          <w:i/>
        </w:rPr>
        <w:t>p</w:t>
      </w:r>
      <w:r w:rsidR="0099563B">
        <w:rPr>
          <w:b/>
          <w:i/>
        </w:rPr>
        <w:t xml:space="preserve">rokuratorskiej po VI zjeździe </w:t>
      </w:r>
    </w:p>
    <w:p w:rsidR="002705CE" w:rsidRDefault="002705CE" w:rsidP="002705CE">
      <w:pPr>
        <w:spacing w:after="120" w:line="276" w:lineRule="auto"/>
        <w:jc w:val="both"/>
      </w:pPr>
    </w:p>
    <w:p w:rsidR="002705CE" w:rsidRPr="006E0F58" w:rsidRDefault="002705CE" w:rsidP="002705CE">
      <w:pPr>
        <w:spacing w:after="120" w:line="276" w:lineRule="auto"/>
        <w:jc w:val="both"/>
      </w:pPr>
    </w:p>
    <w:p w:rsidR="002705CE" w:rsidRDefault="002705CE" w:rsidP="002705CE">
      <w:pPr>
        <w:spacing w:after="120" w:line="276" w:lineRule="auto"/>
        <w:ind w:firstLine="708"/>
        <w:jc w:val="both"/>
      </w:pPr>
      <w:r w:rsidRPr="00C46FAD">
        <w:t>W oparciu o § 2, 9 i 10 zarządzenia Dyrektor</w:t>
      </w:r>
      <w:r>
        <w:t>a Krajowej Szkoły Sądownictwa i </w:t>
      </w:r>
      <w:r w:rsidRPr="00C46FAD">
        <w:t>Prokuratury w Krakowie Nr 132/2019 z dnia 15 marca 2019 roku w sprawie szczeg</w:t>
      </w:r>
      <w:r>
        <w:t>ółowych zasad odbywania praktyk</w:t>
      </w:r>
      <w:r w:rsidRPr="00C46FAD">
        <w:t xml:space="preserve"> przez aplikantów aplikacji sędziowskiej</w:t>
      </w:r>
      <w:r>
        <w:t xml:space="preserve"> i</w:t>
      </w:r>
      <w:r w:rsidRPr="00C46FAD">
        <w:t xml:space="preserve"> prokuratorskiej </w:t>
      </w:r>
      <w:r>
        <w:t>uprzejmie przedstawiam szczegółowy zakres tematyczny, który winien być przedmiotem praktyk aplikantów aplikacji uzupełniającej prokuratorskiej, odb</w:t>
      </w:r>
      <w:r w:rsidR="00284F06">
        <w:t xml:space="preserve">ywanych: 1 dzień w </w:t>
      </w:r>
      <w:r w:rsidR="0099563B">
        <w:t>okresie od 1 do 5 listopada 2021</w:t>
      </w:r>
      <w:r w:rsidR="00284F06">
        <w:t xml:space="preserve"> roku oraz</w:t>
      </w:r>
      <w:r>
        <w:t xml:space="preserve"> 1 dzień w o</w:t>
      </w:r>
      <w:r w:rsidR="00284F06">
        <w:t>kresie od 8 do 12 listopada 2021</w:t>
      </w:r>
      <w:r>
        <w:t xml:space="preserve"> roku w prokuraturach rejonowych. </w:t>
      </w:r>
    </w:p>
    <w:p w:rsidR="002705CE" w:rsidRDefault="002705CE" w:rsidP="002705CE">
      <w:pPr>
        <w:spacing w:after="120" w:line="276" w:lineRule="auto"/>
        <w:ind w:firstLine="708"/>
        <w:jc w:val="both"/>
      </w:pPr>
    </w:p>
    <w:p w:rsidR="002705CE" w:rsidRDefault="002705CE" w:rsidP="002705CE">
      <w:pPr>
        <w:spacing w:after="120" w:line="276" w:lineRule="auto"/>
        <w:ind w:firstLine="708"/>
        <w:jc w:val="both"/>
        <w:rPr>
          <w:b/>
        </w:rPr>
      </w:pPr>
      <w:r w:rsidRPr="00D40CCA">
        <w:rPr>
          <w:b/>
        </w:rPr>
        <w:t>Przedmiotem V</w:t>
      </w:r>
      <w:r>
        <w:rPr>
          <w:b/>
        </w:rPr>
        <w:t>I</w:t>
      </w:r>
      <w:r w:rsidRPr="00D40CCA">
        <w:rPr>
          <w:b/>
        </w:rPr>
        <w:t xml:space="preserve"> zjazdu</w:t>
      </w:r>
      <w:r>
        <w:rPr>
          <w:b/>
        </w:rPr>
        <w:t xml:space="preserve"> </w:t>
      </w:r>
      <w:r w:rsidRPr="00D40CCA">
        <w:rPr>
          <w:b/>
        </w:rPr>
        <w:t>aplikacji uzupełnia</w:t>
      </w:r>
      <w:r w:rsidR="00284F06">
        <w:rPr>
          <w:b/>
        </w:rPr>
        <w:t xml:space="preserve">jącej prokuratorskiej, który odbędzie się </w:t>
      </w:r>
      <w:r w:rsidR="0099563B">
        <w:rPr>
          <w:b/>
        </w:rPr>
        <w:t>w dniach</w:t>
      </w:r>
      <w:r w:rsidR="00284F06">
        <w:rPr>
          <w:b/>
        </w:rPr>
        <w:t xml:space="preserve"> </w:t>
      </w:r>
      <w:r w:rsidRPr="00D40CCA">
        <w:rPr>
          <w:b/>
        </w:rPr>
        <w:t xml:space="preserve">od  </w:t>
      </w:r>
      <w:r w:rsidR="00284F06">
        <w:rPr>
          <w:b/>
        </w:rPr>
        <w:t>30 do 31</w:t>
      </w:r>
      <w:r>
        <w:rPr>
          <w:b/>
        </w:rPr>
        <w:t xml:space="preserve"> października</w:t>
      </w:r>
      <w:r w:rsidR="00284F06">
        <w:rPr>
          <w:b/>
        </w:rPr>
        <w:t xml:space="preserve"> 2021</w:t>
      </w:r>
      <w:r w:rsidRPr="00D40CCA">
        <w:rPr>
          <w:b/>
        </w:rPr>
        <w:t xml:space="preserve"> r. </w:t>
      </w:r>
      <w:r w:rsidR="00284F06">
        <w:rPr>
          <w:b/>
        </w:rPr>
        <w:t>będą</w:t>
      </w:r>
      <w:r w:rsidR="0099563B">
        <w:rPr>
          <w:b/>
        </w:rPr>
        <w:t xml:space="preserve"> następujące zagadnienia</w:t>
      </w:r>
      <w:r w:rsidRPr="00D40CCA">
        <w:rPr>
          <w:b/>
        </w:rPr>
        <w:t>:</w:t>
      </w:r>
    </w:p>
    <w:p w:rsidR="0099563B" w:rsidRDefault="0099563B" w:rsidP="002705CE">
      <w:pPr>
        <w:spacing w:after="120" w:line="276" w:lineRule="auto"/>
        <w:ind w:firstLine="708"/>
        <w:jc w:val="both"/>
        <w:rPr>
          <w:b/>
        </w:rPr>
      </w:pPr>
    </w:p>
    <w:p w:rsidR="002705CE" w:rsidRPr="0099563B" w:rsidRDefault="002705CE" w:rsidP="002705CE">
      <w:pPr>
        <w:numPr>
          <w:ilvl w:val="0"/>
          <w:numId w:val="4"/>
        </w:numPr>
        <w:spacing w:after="120" w:line="276" w:lineRule="auto"/>
        <w:jc w:val="both"/>
        <w:rPr>
          <w:i/>
          <w:u w:val="single"/>
        </w:rPr>
      </w:pPr>
      <w:r w:rsidRPr="0099563B">
        <w:rPr>
          <w:i/>
          <w:u w:val="single"/>
        </w:rPr>
        <w:t>Prawa człowieka w postępowaniu karnym</w:t>
      </w:r>
    </w:p>
    <w:p w:rsidR="002705CE" w:rsidRDefault="002705CE" w:rsidP="002705CE">
      <w:pPr>
        <w:spacing w:after="120" w:line="276" w:lineRule="auto"/>
        <w:ind w:firstLine="708"/>
        <w:jc w:val="both"/>
        <w:rPr>
          <w:i/>
        </w:rPr>
      </w:pPr>
      <w:r w:rsidRPr="00ED6302">
        <w:rPr>
          <w:i/>
        </w:rPr>
        <w:t>Orzecznictwo Europejskiego Trybunału Praw Człowieka –</w:t>
      </w:r>
      <w:r>
        <w:rPr>
          <w:i/>
        </w:rPr>
        <w:t xml:space="preserve"> </w:t>
      </w:r>
      <w:r w:rsidRPr="00ED6302">
        <w:rPr>
          <w:i/>
        </w:rPr>
        <w:t>z uwzględnieniem spraw polskich – dotyczące  problematyki  karnej.  Zasady  proporcjonalności  i rzeczywistej  ochrony  praw człowieka, prawo do życia, zakaz tortur, prawo do wolności  i bezpieczeństwa osobistego</w:t>
      </w:r>
      <w:r>
        <w:rPr>
          <w:i/>
        </w:rPr>
        <w:t xml:space="preserve"> </w:t>
      </w:r>
      <w:r w:rsidRPr="00ED6302">
        <w:rPr>
          <w:i/>
        </w:rPr>
        <w:t>(z wyjątkiem nadmiernej długości tymczasowego aresztowania –</w:t>
      </w:r>
      <w:r>
        <w:rPr>
          <w:i/>
        </w:rPr>
        <w:t xml:space="preserve"> </w:t>
      </w:r>
      <w:r w:rsidRPr="00ED6302">
        <w:rPr>
          <w:i/>
        </w:rPr>
        <w:t>por. zjazd VII), prawo do rzetelnego procesu (z wyjątkiem przewlekłości postępowania –por. zjazd XVII).</w:t>
      </w:r>
    </w:p>
    <w:p w:rsidR="0099563B" w:rsidRPr="006063A8" w:rsidRDefault="0099563B" w:rsidP="002705CE">
      <w:pPr>
        <w:spacing w:after="120" w:line="276" w:lineRule="auto"/>
        <w:ind w:firstLine="708"/>
        <w:jc w:val="both"/>
        <w:rPr>
          <w:b/>
        </w:rPr>
      </w:pPr>
    </w:p>
    <w:p w:rsidR="002705CE" w:rsidRPr="0099563B" w:rsidRDefault="002705CE" w:rsidP="002705CE">
      <w:pPr>
        <w:numPr>
          <w:ilvl w:val="0"/>
          <w:numId w:val="4"/>
        </w:numPr>
        <w:spacing w:after="120" w:line="276" w:lineRule="auto"/>
        <w:jc w:val="both"/>
        <w:rPr>
          <w:i/>
          <w:u w:val="single"/>
        </w:rPr>
      </w:pPr>
      <w:r w:rsidRPr="0099563B">
        <w:rPr>
          <w:i/>
          <w:u w:val="single"/>
        </w:rPr>
        <w:t>Prawo karne materialne</w:t>
      </w:r>
    </w:p>
    <w:p w:rsidR="002705CE" w:rsidRDefault="002705CE" w:rsidP="002705CE">
      <w:pPr>
        <w:spacing w:after="120" w:line="276" w:lineRule="auto"/>
        <w:ind w:firstLine="708"/>
        <w:jc w:val="both"/>
        <w:rPr>
          <w:i/>
        </w:rPr>
      </w:pPr>
      <w:r w:rsidRPr="00ED6302">
        <w:rPr>
          <w:i/>
        </w:rPr>
        <w:t>Okoliczności  wyłączające  i  umniejszające  winę.  Okoliczności  wyłączające  bezprawność czynu. Zbieg przestępstw i zbieg przepisów ustawy.</w:t>
      </w:r>
    </w:p>
    <w:p w:rsidR="0099563B" w:rsidRPr="00ED6302" w:rsidRDefault="0099563B" w:rsidP="002705CE">
      <w:pPr>
        <w:spacing w:after="120" w:line="276" w:lineRule="auto"/>
        <w:ind w:firstLine="708"/>
        <w:jc w:val="both"/>
        <w:rPr>
          <w:i/>
        </w:rPr>
      </w:pPr>
    </w:p>
    <w:p w:rsidR="002705CE" w:rsidRPr="0099563B" w:rsidRDefault="002705CE" w:rsidP="002705CE">
      <w:pPr>
        <w:numPr>
          <w:ilvl w:val="0"/>
          <w:numId w:val="4"/>
        </w:numPr>
        <w:spacing w:after="120" w:line="276" w:lineRule="auto"/>
        <w:jc w:val="both"/>
        <w:rPr>
          <w:i/>
          <w:u w:val="single"/>
        </w:rPr>
      </w:pPr>
      <w:r w:rsidRPr="0099563B">
        <w:rPr>
          <w:i/>
          <w:u w:val="single"/>
        </w:rPr>
        <w:t>Prawo karne procesowe</w:t>
      </w:r>
    </w:p>
    <w:p w:rsidR="002705CE" w:rsidRPr="00ED6302" w:rsidRDefault="002705CE" w:rsidP="002705CE">
      <w:pPr>
        <w:spacing w:after="120" w:line="276" w:lineRule="auto"/>
        <w:ind w:firstLine="708"/>
        <w:jc w:val="both"/>
        <w:rPr>
          <w:i/>
        </w:rPr>
      </w:pPr>
      <w:r w:rsidRPr="00ED6302">
        <w:rPr>
          <w:i/>
        </w:rPr>
        <w:t>Czynności zastrzeżone dla prokuratora w śledztwie.  Środki zapobiegawcze stosowane przez prokuratora. Kary porządkowe. Tymczasowe zajęcie mienia.  Zabezpieczenie majątkowe.</w:t>
      </w:r>
    </w:p>
    <w:p w:rsidR="002705CE" w:rsidRPr="00284F06" w:rsidRDefault="002705CE" w:rsidP="002705CE">
      <w:pPr>
        <w:spacing w:after="120" w:line="276" w:lineRule="auto"/>
        <w:ind w:firstLine="708"/>
        <w:jc w:val="both"/>
        <w:rPr>
          <w:b/>
        </w:rPr>
      </w:pPr>
      <w:r w:rsidRPr="00284F06">
        <w:rPr>
          <w:b/>
        </w:rPr>
        <w:t>Celem praktyki jest przede wszystkim nabycie umiejętności opracowywania postanowień o zastosowaniu środka zapobiegawczego, o zabezpieczeniu majątkowym oraz postanowień i zarządzeń o karze porządkowej.</w:t>
      </w:r>
    </w:p>
    <w:p w:rsidR="002705CE" w:rsidRDefault="002705CE" w:rsidP="002705CE">
      <w:pPr>
        <w:spacing w:after="120" w:line="276" w:lineRule="auto"/>
        <w:ind w:firstLine="708"/>
        <w:jc w:val="both"/>
      </w:pPr>
      <w:r>
        <w:t>Aplikanci powinni zapoznać się w szczególności ze sprawami, w których istnieje możliwość:</w:t>
      </w:r>
    </w:p>
    <w:p w:rsidR="002705CE" w:rsidRDefault="002705CE" w:rsidP="002705CE">
      <w:pPr>
        <w:spacing w:after="120" w:line="276" w:lineRule="auto"/>
        <w:ind w:firstLine="708"/>
        <w:jc w:val="both"/>
      </w:pPr>
      <w:r>
        <w:t>•</w:t>
      </w:r>
      <w:r>
        <w:tab/>
        <w:t>analizy materiału aktowego w kierunku oceny konieczności stosowania środków zapobiegawczych i wyboru właściwego środka z uwagi na zdiagnozowane zagrożenia dla prawidłowości biegu postępowania przygotowawczego,</w:t>
      </w:r>
    </w:p>
    <w:p w:rsidR="002705CE" w:rsidRDefault="002705CE" w:rsidP="002705CE">
      <w:pPr>
        <w:spacing w:after="120" w:line="276" w:lineRule="auto"/>
        <w:ind w:firstLine="708"/>
        <w:jc w:val="both"/>
      </w:pPr>
      <w:r>
        <w:t>•</w:t>
      </w:r>
      <w:r>
        <w:tab/>
        <w:t xml:space="preserve">zapoznania się z obowiązującymi schematami decyzji o zastosowaniu wolnościowych środków zapobiegawczych, </w:t>
      </w:r>
    </w:p>
    <w:p w:rsidR="002705CE" w:rsidRDefault="002705CE" w:rsidP="002705CE">
      <w:pPr>
        <w:spacing w:after="120" w:line="276" w:lineRule="auto"/>
        <w:ind w:firstLine="708"/>
        <w:jc w:val="both"/>
      </w:pPr>
      <w:r>
        <w:t>•</w:t>
      </w:r>
      <w:r>
        <w:tab/>
        <w:t xml:space="preserve">opracowywania projektów postanowień o zastosowaniu przez prokuratora środków zapobiegawczych wraz z uzasadnieniem, </w:t>
      </w:r>
    </w:p>
    <w:p w:rsidR="002705CE" w:rsidRDefault="002705CE" w:rsidP="002705CE">
      <w:pPr>
        <w:spacing w:after="120" w:line="276" w:lineRule="auto"/>
        <w:ind w:firstLine="708"/>
        <w:jc w:val="both"/>
      </w:pPr>
      <w:r>
        <w:t>•</w:t>
      </w:r>
      <w:r>
        <w:tab/>
        <w:t>analizy materiałów zebranych w toku postępowania przygotowawczego,            w ramach którego zastosowano środki zapobiegawcze – pod kątem potrzeby ich zmiany lub uchylenia (art. 253 k.p.k.),</w:t>
      </w:r>
    </w:p>
    <w:p w:rsidR="002705CE" w:rsidRDefault="002705CE" w:rsidP="002705CE">
      <w:pPr>
        <w:spacing w:after="120" w:line="276" w:lineRule="auto"/>
        <w:ind w:firstLine="708"/>
        <w:jc w:val="both"/>
      </w:pPr>
      <w:r>
        <w:t>•</w:t>
      </w:r>
      <w:r>
        <w:tab/>
        <w:t>opracowania projektu decyzji o odmowie uwzględnienia wniosku                     w przedmiocie uchylenia lub zmiany środka zapobiegawczego, w tym także – decyzji częściowo uwzględniającej wniosek.</w:t>
      </w:r>
    </w:p>
    <w:p w:rsidR="002705CE" w:rsidRDefault="002705CE" w:rsidP="002705CE">
      <w:pPr>
        <w:spacing w:after="120" w:line="276" w:lineRule="auto"/>
        <w:ind w:firstLine="708"/>
        <w:jc w:val="both"/>
      </w:pPr>
      <w:r>
        <w:t>Przy wykonywaniu powyższych czynności, aplikantom należy zwracać uwagę nie tylko na przepisy Kodeksu postępowania karnego i oparte na nich orzecznictwo, ale również na zasady wynikające z Regulaminu wewnętrznego urzędowania powszechnych jednostek organizacyjnych prokuratury oraz wytycznych i pism instrukcyjnych. W szczególności           w kontekście zasad stosowania zabezpieczenia majątkowego należy omówić z aplikantami, na konkretnych przykładach, praktyczne uwarunkowania wynikające z takich wytycznych             i poleceń dla poszczególnych rodzajów przestępstw, a także przedstawić uzgodnienia              z kooperantami procesowymi co do sposobu realizacji polecenia gromadzenia informacji        o stanie majątkowym osób na etapie przed formalnym przedstawieniem zarzutu.</w:t>
      </w:r>
    </w:p>
    <w:p w:rsidR="002705CE" w:rsidRDefault="002705CE" w:rsidP="002705CE">
      <w:pPr>
        <w:spacing w:after="120" w:line="276" w:lineRule="auto"/>
        <w:ind w:firstLine="708"/>
        <w:jc w:val="both"/>
      </w:pPr>
    </w:p>
    <w:p w:rsidR="002705CE" w:rsidRDefault="002705CE" w:rsidP="002705CE">
      <w:pPr>
        <w:spacing w:after="120" w:line="276" w:lineRule="auto"/>
        <w:ind w:firstLine="708"/>
        <w:jc w:val="both"/>
      </w:pPr>
      <w:r>
        <w:t xml:space="preserve">Powyższe zalecenia nie eliminują możliwości wykonywania przez aplikantów innych zadań wynikających z bieżącego funkcjonowania prokuratury. Patroni zadbać jednak powinni, by nie przeważały one w trakcie praktyki oraz,  aby aplikanci mogli pracować także na materiałach (sprawach), którymi patron formalnie się nie zajmuje, zwłaszcza gdyby miało to umożliwić im poznanie szerokiego zakresu zagadnień, związanych nie tylko bezpośrednio z tematyką poprzedzającego zjazdu, ale wpływających na ogólne podniesienie umiejętności </w:t>
      </w:r>
      <w:r>
        <w:lastRenderedPageBreak/>
        <w:t>aplikanta. Ma temu również służyć zapoznanie aplikantów z zasadami biurowości – w tym prowadzenia urządzeń ewidencyjnych.</w:t>
      </w:r>
    </w:p>
    <w:p w:rsidR="002705CE" w:rsidRDefault="002705CE" w:rsidP="002705CE">
      <w:pPr>
        <w:spacing w:after="120" w:line="276" w:lineRule="auto"/>
        <w:ind w:firstLine="708"/>
        <w:jc w:val="both"/>
      </w:pPr>
      <w:r w:rsidRPr="0044624A">
        <w:t>Proszę zwracać uwagę nie tylko na merytoryczną trafność i formalną poprawność sporządzanych przez aplikantów pism, ale także na rodzaj użytej argumentacji, logikę              i poprawność językową.</w:t>
      </w:r>
    </w:p>
    <w:p w:rsidR="002705CE" w:rsidRDefault="002705CE" w:rsidP="002705CE">
      <w:pPr>
        <w:spacing w:after="120" w:line="276" w:lineRule="auto"/>
        <w:jc w:val="both"/>
      </w:pPr>
    </w:p>
    <w:p w:rsidR="002705CE" w:rsidRDefault="002705CE" w:rsidP="002705CE">
      <w:pPr>
        <w:spacing w:after="120" w:line="276" w:lineRule="auto"/>
        <w:ind w:firstLine="708"/>
        <w:jc w:val="both"/>
      </w:pPr>
    </w:p>
    <w:p w:rsidR="002705CE" w:rsidRPr="00432A5F" w:rsidRDefault="002705CE" w:rsidP="002705CE">
      <w:pPr>
        <w:spacing w:after="120"/>
        <w:jc w:val="center"/>
        <w:rPr>
          <w:b/>
        </w:rPr>
      </w:pPr>
      <w:r w:rsidRPr="00432A5F">
        <w:rPr>
          <w:b/>
        </w:rPr>
        <w:t xml:space="preserve">Kierownik </w:t>
      </w:r>
    </w:p>
    <w:p w:rsidR="002705CE" w:rsidRPr="00432A5F" w:rsidRDefault="002705CE" w:rsidP="002705CE">
      <w:pPr>
        <w:spacing w:after="120"/>
        <w:jc w:val="center"/>
        <w:rPr>
          <w:b/>
        </w:rPr>
      </w:pPr>
      <w:r w:rsidRPr="00432A5F">
        <w:rPr>
          <w:b/>
        </w:rPr>
        <w:t>Działu Dydaktycznego</w:t>
      </w:r>
    </w:p>
    <w:p w:rsidR="002705CE" w:rsidRPr="00432A5F" w:rsidRDefault="002705CE" w:rsidP="002705CE">
      <w:pPr>
        <w:spacing w:after="120"/>
        <w:jc w:val="center"/>
        <w:rPr>
          <w:b/>
        </w:rPr>
      </w:pPr>
      <w:r w:rsidRPr="00432A5F">
        <w:rPr>
          <w:b/>
        </w:rPr>
        <w:t>Ośrodka Aplikacji Prokuratorskiej</w:t>
      </w:r>
    </w:p>
    <w:p w:rsidR="002705CE" w:rsidRPr="00432A5F" w:rsidRDefault="002705CE" w:rsidP="002705CE">
      <w:pPr>
        <w:spacing w:after="120"/>
        <w:jc w:val="center"/>
        <w:rPr>
          <w:b/>
        </w:rPr>
      </w:pPr>
      <w:r w:rsidRPr="00432A5F">
        <w:rPr>
          <w:b/>
        </w:rPr>
        <w:t>Krajowej Szkoły Sądownictwa i Prokuratury</w:t>
      </w:r>
    </w:p>
    <w:p w:rsidR="002705CE" w:rsidRPr="00432A5F" w:rsidRDefault="002705CE" w:rsidP="002705CE">
      <w:pPr>
        <w:spacing w:after="120"/>
        <w:jc w:val="center"/>
        <w:rPr>
          <w:b/>
        </w:rPr>
      </w:pPr>
    </w:p>
    <w:p w:rsidR="002705CE" w:rsidRPr="00432A5F" w:rsidRDefault="002705CE" w:rsidP="002705CE">
      <w:pPr>
        <w:spacing w:after="120"/>
        <w:jc w:val="center"/>
        <w:rPr>
          <w:b/>
        </w:rPr>
      </w:pPr>
      <w:r w:rsidRPr="00432A5F">
        <w:rPr>
          <w:b/>
        </w:rPr>
        <w:t>Marta Zin</w:t>
      </w:r>
    </w:p>
    <w:p w:rsidR="002705CE" w:rsidRPr="00432A5F" w:rsidRDefault="002705CE" w:rsidP="002705CE">
      <w:pPr>
        <w:spacing w:after="120"/>
        <w:jc w:val="center"/>
        <w:rPr>
          <w:b/>
        </w:rPr>
      </w:pPr>
      <w:r>
        <w:rPr>
          <w:b/>
        </w:rPr>
        <w:t xml:space="preserve">  </w:t>
      </w:r>
      <w:r w:rsidRPr="00432A5F">
        <w:rPr>
          <w:b/>
        </w:rPr>
        <w:t>Prokurator</w:t>
      </w:r>
    </w:p>
    <w:p w:rsidR="000B4076" w:rsidRDefault="000B4076"/>
    <w:sectPr w:rsidR="000B4076" w:rsidSect="003D147B">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560" w:left="1418" w:header="568" w:footer="49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32AE" w:rsidRDefault="007C32AE">
      <w:r>
        <w:separator/>
      </w:r>
    </w:p>
  </w:endnote>
  <w:endnote w:type="continuationSeparator" w:id="0">
    <w:p w:rsidR="007C32AE" w:rsidRDefault="007C3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hruti">
    <w:panose1 w:val="02000500000000000000"/>
    <w:charset w:val="01"/>
    <w:family w:val="roman"/>
    <w:notTrueType/>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99F" w:rsidRDefault="00B9399F">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10F" w:rsidRDefault="005C1373">
    <w:pPr>
      <w:pStyle w:val="Stopka"/>
    </w:pPr>
    <w:r>
      <w:fldChar w:fldCharType="begin"/>
    </w:r>
    <w:r>
      <w:instrText xml:space="preserve"> PAGE   \* MERGEFORMAT </w:instrText>
    </w:r>
    <w:r>
      <w:fldChar w:fldCharType="separate"/>
    </w:r>
    <w:r w:rsidR="00B9399F">
      <w:rPr>
        <w:noProof/>
      </w:rPr>
      <w:t>2</w:t>
    </w:r>
    <w:r>
      <w:rPr>
        <w:noProof/>
      </w:rPr>
      <w:fldChar w:fldCharType="end"/>
    </w:r>
  </w:p>
  <w:p w:rsidR="001B510F" w:rsidRDefault="007C32A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987" w:type="dxa"/>
      <w:tblBorders>
        <w:top w:val="single" w:sz="4" w:space="0" w:color="auto"/>
      </w:tblBorders>
      <w:tblCellMar>
        <w:left w:w="70" w:type="dxa"/>
        <w:right w:w="70" w:type="dxa"/>
      </w:tblCellMar>
      <w:tblLook w:val="0000" w:firstRow="0" w:lastRow="0" w:firstColumn="0" w:lastColumn="0" w:noHBand="0" w:noVBand="0"/>
    </w:tblPr>
    <w:tblGrid>
      <w:gridCol w:w="5099"/>
    </w:tblGrid>
    <w:tr w:rsidR="001B510F" w:rsidTr="003D147B">
      <w:trPr>
        <w:trHeight w:val="23"/>
      </w:trPr>
      <w:tc>
        <w:tcPr>
          <w:tcW w:w="5099" w:type="dxa"/>
          <w:tcBorders>
            <w:top w:val="thinThickSmallGap" w:sz="12" w:space="0" w:color="auto"/>
          </w:tcBorders>
        </w:tcPr>
        <w:p w:rsidR="001B510F" w:rsidRPr="0074505E" w:rsidRDefault="007C32AE" w:rsidP="003D147B">
          <w:pPr>
            <w:pStyle w:val="Stopka"/>
            <w:rPr>
              <w:sz w:val="4"/>
              <w:szCs w:val="4"/>
            </w:rPr>
          </w:pPr>
        </w:p>
      </w:tc>
    </w:tr>
  </w:tbl>
  <w:p w:rsidR="001B510F" w:rsidRPr="00A944C8" w:rsidRDefault="005C1373" w:rsidP="000828FB">
    <w:pPr>
      <w:pStyle w:val="Stopka"/>
      <w:jc w:val="center"/>
      <w:rPr>
        <w:sz w:val="18"/>
        <w:szCs w:val="18"/>
      </w:rPr>
    </w:pPr>
    <w:r w:rsidRPr="00A944C8">
      <w:rPr>
        <w:sz w:val="18"/>
        <w:szCs w:val="18"/>
      </w:rPr>
      <w:t>Krajowa Szkoła Sądownictwa i Prokuratury</w:t>
    </w:r>
  </w:p>
  <w:p w:rsidR="001B510F" w:rsidRPr="00A944C8" w:rsidRDefault="005C1373" w:rsidP="000828FB">
    <w:pPr>
      <w:pStyle w:val="Stopka"/>
      <w:jc w:val="center"/>
      <w:rPr>
        <w:sz w:val="18"/>
        <w:szCs w:val="18"/>
      </w:rPr>
    </w:pPr>
    <w:r w:rsidRPr="00A944C8">
      <w:rPr>
        <w:sz w:val="18"/>
        <w:szCs w:val="18"/>
      </w:rPr>
      <w:t>ul. Przy Rondzie 5, 31-547 Kraków</w:t>
    </w:r>
  </w:p>
  <w:p w:rsidR="001B510F" w:rsidRDefault="007C32AE" w:rsidP="003D147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32AE" w:rsidRDefault="007C32AE">
      <w:r>
        <w:separator/>
      </w:r>
    </w:p>
  </w:footnote>
  <w:footnote w:type="continuationSeparator" w:id="0">
    <w:p w:rsidR="007C32AE" w:rsidRDefault="007C32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99F" w:rsidRDefault="00B9399F">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10F" w:rsidRPr="009B38B3" w:rsidRDefault="005C1373" w:rsidP="003D147B">
    <w:pPr>
      <w:pStyle w:val="Nagwek"/>
      <w:jc w:val="right"/>
      <w:rPr>
        <w:rFonts w:ascii="Century Gothic" w:hAnsi="Century Gothic"/>
        <w:sz w:val="16"/>
        <w:szCs w:val="16"/>
      </w:rPr>
    </w:pPr>
    <w:r w:rsidRPr="009B38B3">
      <w:rPr>
        <w:rFonts w:ascii="Century Gothic" w:hAnsi="Century Gothic"/>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10F" w:rsidRDefault="005C1373" w:rsidP="003D147B">
    <w:pPr>
      <w:pStyle w:val="Nagwek"/>
      <w:tabs>
        <w:tab w:val="clear" w:pos="4536"/>
        <w:tab w:val="clear" w:pos="9072"/>
        <w:tab w:val="center" w:pos="1080"/>
        <w:tab w:val="left" w:pos="1440"/>
        <w:tab w:val="right" w:pos="5103"/>
        <w:tab w:val="left" w:pos="10527"/>
      </w:tabs>
      <w:ind w:left="-851" w:right="5526"/>
      <w:rPr>
        <w:rFonts w:ascii="Century Gothic" w:hAnsi="Century Gothic" w:cs="Shruti"/>
        <w:spacing w:val="20"/>
        <w:sz w:val="30"/>
        <w:szCs w:val="30"/>
      </w:rPr>
    </w:pPr>
    <w:r>
      <w:rPr>
        <w:noProof/>
      </w:rPr>
      <w:drawing>
        <wp:anchor distT="0" distB="0" distL="114300" distR="114300" simplePos="0" relativeHeight="251659264" behindDoc="0" locked="0" layoutInCell="1" allowOverlap="1" wp14:anchorId="3E8C1DEB" wp14:editId="206492B8">
          <wp:simplePos x="0" y="0"/>
          <wp:positionH relativeFrom="column">
            <wp:posOffset>621665</wp:posOffset>
          </wp:positionH>
          <wp:positionV relativeFrom="paragraph">
            <wp:posOffset>-42545</wp:posOffset>
          </wp:positionV>
          <wp:extent cx="501015" cy="476885"/>
          <wp:effectExtent l="0" t="0" r="0" b="0"/>
          <wp:wrapNone/>
          <wp:docPr id="1"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1015" cy="476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cs="Shruti"/>
        <w:spacing w:val="20"/>
        <w:sz w:val="30"/>
        <w:szCs w:val="30"/>
      </w:rPr>
      <w:t xml:space="preserve">  </w:t>
    </w:r>
  </w:p>
  <w:p w:rsidR="001B510F" w:rsidRDefault="007C32AE" w:rsidP="003D147B">
    <w:pPr>
      <w:pStyle w:val="Nagwek"/>
      <w:ind w:right="4959"/>
      <w:jc w:val="center"/>
      <w:rPr>
        <w:b/>
      </w:rPr>
    </w:pPr>
  </w:p>
  <w:p w:rsidR="001B510F" w:rsidRPr="009E7ADE" w:rsidRDefault="007C32AE" w:rsidP="003D147B">
    <w:pPr>
      <w:pStyle w:val="Nagwek"/>
      <w:ind w:left="-851" w:right="5526"/>
      <w:jc w:val="center"/>
      <w:rPr>
        <w:b/>
        <w:sz w:val="8"/>
        <w:szCs w:val="8"/>
      </w:rPr>
    </w:pPr>
  </w:p>
  <w:p w:rsidR="001B510F" w:rsidRPr="00551ABF" w:rsidRDefault="005C1373" w:rsidP="003D147B">
    <w:pPr>
      <w:pStyle w:val="Nagwek"/>
      <w:ind w:left="-851" w:right="5526"/>
      <w:jc w:val="center"/>
      <w:rPr>
        <w:b/>
      </w:rPr>
    </w:pPr>
    <w:r w:rsidRPr="00551ABF">
      <w:rPr>
        <w:b/>
      </w:rPr>
      <w:t>KRAJOW</w:t>
    </w:r>
    <w:r>
      <w:rPr>
        <w:b/>
      </w:rPr>
      <w:t>A</w:t>
    </w:r>
    <w:r w:rsidRPr="00551ABF">
      <w:rPr>
        <w:b/>
      </w:rPr>
      <w:t xml:space="preserve"> SZKOŁ</w:t>
    </w:r>
    <w:r>
      <w:rPr>
        <w:b/>
      </w:rPr>
      <w:t>A</w:t>
    </w:r>
  </w:p>
  <w:p w:rsidR="001B510F" w:rsidRDefault="005C1373" w:rsidP="003D147B">
    <w:pPr>
      <w:pStyle w:val="Nagwek"/>
      <w:ind w:left="-851" w:right="5526"/>
      <w:jc w:val="center"/>
      <w:rPr>
        <w:b/>
      </w:rPr>
    </w:pPr>
    <w:r w:rsidRPr="00D021CB">
      <w:rPr>
        <w:b/>
      </w:rPr>
      <w:t>SĄDOWNICTWA I PROKURATURY</w:t>
    </w:r>
  </w:p>
  <w:p w:rsidR="00E20B98" w:rsidRPr="00D021CB" w:rsidRDefault="007C32AE" w:rsidP="003D147B">
    <w:pPr>
      <w:pStyle w:val="Nagwek"/>
      <w:ind w:left="-851" w:right="5526"/>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9149C7"/>
    <w:multiLevelType w:val="hybridMultilevel"/>
    <w:tmpl w:val="1D243B96"/>
    <w:lvl w:ilvl="0" w:tplc="04150005">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16D5A8E"/>
    <w:multiLevelType w:val="hybridMultilevel"/>
    <w:tmpl w:val="674079CE"/>
    <w:lvl w:ilvl="0" w:tplc="04150005">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AE40605"/>
    <w:multiLevelType w:val="hybridMultilevel"/>
    <w:tmpl w:val="EE7473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41F2AE9"/>
    <w:multiLevelType w:val="hybridMultilevel"/>
    <w:tmpl w:val="136675D6"/>
    <w:lvl w:ilvl="0" w:tplc="172C546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373"/>
    <w:rsid w:val="00073409"/>
    <w:rsid w:val="000B4076"/>
    <w:rsid w:val="002705CE"/>
    <w:rsid w:val="00282679"/>
    <w:rsid w:val="00284F06"/>
    <w:rsid w:val="00313D8C"/>
    <w:rsid w:val="003723F0"/>
    <w:rsid w:val="00391A83"/>
    <w:rsid w:val="00435CDB"/>
    <w:rsid w:val="00482F4C"/>
    <w:rsid w:val="005C1373"/>
    <w:rsid w:val="006A65F4"/>
    <w:rsid w:val="007C32AE"/>
    <w:rsid w:val="0099563B"/>
    <w:rsid w:val="009C0B02"/>
    <w:rsid w:val="00B9399F"/>
    <w:rsid w:val="00BC1096"/>
    <w:rsid w:val="00D250D7"/>
    <w:rsid w:val="00DF6B8E"/>
    <w:rsid w:val="00ED39E2"/>
    <w:rsid w:val="00F866FC"/>
    <w:rsid w:val="00FC1A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705CE"/>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C1373"/>
    <w:pPr>
      <w:tabs>
        <w:tab w:val="center" w:pos="4536"/>
        <w:tab w:val="right" w:pos="9072"/>
      </w:tabs>
    </w:pPr>
  </w:style>
  <w:style w:type="character" w:customStyle="1" w:styleId="NagwekZnak">
    <w:name w:val="Nagłówek Znak"/>
    <w:basedOn w:val="Domylnaczcionkaakapitu"/>
    <w:link w:val="Nagwek"/>
    <w:uiPriority w:val="99"/>
    <w:rsid w:val="005C1373"/>
  </w:style>
  <w:style w:type="paragraph" w:styleId="Stopka">
    <w:name w:val="footer"/>
    <w:basedOn w:val="Normalny"/>
    <w:link w:val="StopkaZnak"/>
    <w:uiPriority w:val="99"/>
    <w:unhideWhenUsed/>
    <w:rsid w:val="005C1373"/>
    <w:pPr>
      <w:tabs>
        <w:tab w:val="center" w:pos="4536"/>
        <w:tab w:val="right" w:pos="9072"/>
      </w:tabs>
    </w:pPr>
  </w:style>
  <w:style w:type="character" w:customStyle="1" w:styleId="StopkaZnak">
    <w:name w:val="Stopka Znak"/>
    <w:basedOn w:val="Domylnaczcionkaakapitu"/>
    <w:link w:val="Stopka"/>
    <w:uiPriority w:val="99"/>
    <w:rsid w:val="005C1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685</Words>
  <Characters>4110</Characters>
  <Application>Microsoft Office Word</Application>
  <DocSecurity>0</DocSecurity>
  <Lines>34</Lines>
  <Paragraphs>9</Paragraphs>
  <ScaleCrop>false</ScaleCrop>
  <Company/>
  <LinksUpToDate>false</LinksUpToDate>
  <CharactersWithSpaces>4786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2021-10-20T09:30:00Z</dcterms:created>
  <dcterms:modified xsi:type="dcterms:W3CDTF">2021-10-20T09:30:00Z</dcterms:modified>
</cp:coreProperties>
</file>