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E286" w14:textId="6AA1194A" w:rsidR="00A24D29" w:rsidRPr="00415A78" w:rsidRDefault="0001405B" w:rsidP="00415A78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r w:rsidRPr="00415A78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366DCBA">
            <wp:simplePos x="0" y="0"/>
            <wp:positionH relativeFrom="column">
              <wp:posOffset>530785</wp:posOffset>
            </wp:positionH>
            <wp:positionV relativeFrom="paragraph">
              <wp:posOffset>60325</wp:posOffset>
            </wp:positionV>
            <wp:extent cx="674446" cy="6362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8" cy="642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F9ECD" w14:textId="065449D5" w:rsidR="007C3A8C" w:rsidRPr="00415A78" w:rsidRDefault="007C3A8C" w:rsidP="00415A78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r w:rsidRPr="00415A78">
        <w:rPr>
          <w:spacing w:val="20"/>
        </w:rPr>
        <w:t xml:space="preserve"> </w:t>
      </w:r>
    </w:p>
    <w:p w14:paraId="26BC11B7" w14:textId="77777777" w:rsidR="007C3A8C" w:rsidRPr="00415A78" w:rsidRDefault="007C3A8C" w:rsidP="00415A78">
      <w:pPr>
        <w:pStyle w:val="Nagwek"/>
        <w:spacing w:line="360" w:lineRule="auto"/>
        <w:ind w:right="4959"/>
        <w:jc w:val="center"/>
        <w:rPr>
          <w:b/>
        </w:rPr>
      </w:pPr>
    </w:p>
    <w:p w14:paraId="18006948" w14:textId="77777777" w:rsidR="007C3A8C" w:rsidRPr="00415A78" w:rsidRDefault="007C3A8C" w:rsidP="00415A78">
      <w:pPr>
        <w:pStyle w:val="Nagwek"/>
        <w:spacing w:line="360" w:lineRule="auto"/>
        <w:ind w:left="-851" w:right="5526"/>
        <w:jc w:val="center"/>
        <w:rPr>
          <w:b/>
        </w:rPr>
      </w:pPr>
    </w:p>
    <w:p w14:paraId="62D3B3CA" w14:textId="77777777" w:rsidR="007C3A8C" w:rsidRPr="00415A78" w:rsidRDefault="007C3A8C" w:rsidP="00415A78">
      <w:pPr>
        <w:pStyle w:val="Nagwek"/>
        <w:spacing w:line="360" w:lineRule="auto"/>
        <w:ind w:left="-851" w:right="5526"/>
        <w:jc w:val="center"/>
        <w:rPr>
          <w:b/>
        </w:rPr>
      </w:pPr>
      <w:r w:rsidRPr="00415A78">
        <w:rPr>
          <w:b/>
        </w:rPr>
        <w:t>KRAJOWA SZKOŁA</w:t>
      </w:r>
    </w:p>
    <w:p w14:paraId="6EA534E8" w14:textId="77777777" w:rsidR="007C3A8C" w:rsidRPr="00415A78" w:rsidRDefault="007C3A8C" w:rsidP="00415A78">
      <w:pPr>
        <w:pStyle w:val="Nagwek"/>
        <w:spacing w:line="360" w:lineRule="auto"/>
        <w:ind w:left="-851" w:right="5526"/>
        <w:jc w:val="center"/>
        <w:rPr>
          <w:b/>
        </w:rPr>
      </w:pPr>
      <w:r w:rsidRPr="00415A78">
        <w:rPr>
          <w:b/>
        </w:rPr>
        <w:t xml:space="preserve"> SĄDOWNICTWA I PROKURATURY</w:t>
      </w:r>
    </w:p>
    <w:p w14:paraId="52EB9108" w14:textId="26A45C22" w:rsidR="007C3A8C" w:rsidRPr="00415A78" w:rsidRDefault="007C3A8C" w:rsidP="00415A78">
      <w:pPr>
        <w:pStyle w:val="Nagwek"/>
        <w:spacing w:line="360" w:lineRule="auto"/>
        <w:ind w:right="4392" w:hanging="283"/>
        <w:rPr>
          <w:b/>
        </w:rPr>
      </w:pPr>
      <w:bookmarkStart w:id="0" w:name="_GoBack"/>
      <w:bookmarkEnd w:id="0"/>
    </w:p>
    <w:p w14:paraId="3227B759" w14:textId="32C9746C" w:rsidR="007C3A8C" w:rsidRPr="00415A78" w:rsidRDefault="007C3A8C" w:rsidP="00415A7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 xml:space="preserve">Kraków, </w:t>
      </w:r>
      <w:r w:rsidR="00D036E5">
        <w:rPr>
          <w:rFonts w:ascii="Times New Roman" w:hAnsi="Times New Roman"/>
          <w:sz w:val="24"/>
          <w:szCs w:val="24"/>
        </w:rPr>
        <w:t>24</w:t>
      </w:r>
      <w:r w:rsidR="00A041E3" w:rsidRPr="00415A78">
        <w:rPr>
          <w:rFonts w:ascii="Times New Roman" w:hAnsi="Times New Roman"/>
          <w:sz w:val="24"/>
          <w:szCs w:val="24"/>
        </w:rPr>
        <w:t xml:space="preserve"> lutego 2022</w:t>
      </w:r>
      <w:r w:rsidRPr="00415A78">
        <w:rPr>
          <w:rFonts w:ascii="Times New Roman" w:hAnsi="Times New Roman"/>
          <w:sz w:val="24"/>
          <w:szCs w:val="24"/>
        </w:rPr>
        <w:t xml:space="preserve"> </w:t>
      </w:r>
      <w:r w:rsidR="00B732B5" w:rsidRPr="00415A78">
        <w:rPr>
          <w:rFonts w:ascii="Times New Roman" w:hAnsi="Times New Roman"/>
          <w:sz w:val="24"/>
          <w:szCs w:val="24"/>
        </w:rPr>
        <w:t>r</w:t>
      </w:r>
      <w:r w:rsidRPr="00415A78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980"/>
      </w:tblGrid>
      <w:tr w:rsidR="007A3B09" w:rsidRPr="00415A78" w14:paraId="7B655B4F" w14:textId="77777777" w:rsidTr="007A3B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6017E" w14:textId="77777777" w:rsidR="007A3B09" w:rsidRPr="00415A78" w:rsidRDefault="007A3B09" w:rsidP="00415A7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216EC7" w14:textId="77777777" w:rsidR="00EF023F" w:rsidRPr="001679A5" w:rsidRDefault="00EF023F" w:rsidP="00EF023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679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OAS-II.420.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71.2021</w:t>
            </w:r>
          </w:p>
          <w:p w14:paraId="52A41278" w14:textId="4FC09BAF" w:rsidR="007A3B09" w:rsidRPr="00415A78" w:rsidRDefault="00A041E3" w:rsidP="00415A7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15A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</w:p>
        </w:tc>
      </w:tr>
    </w:tbl>
    <w:p w14:paraId="3D91AE1D" w14:textId="77777777" w:rsidR="007A3B09" w:rsidRPr="00415A78" w:rsidRDefault="007A3B09" w:rsidP="00415A7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DB2A57" w14:textId="709D876C" w:rsidR="007C3A8C" w:rsidRPr="00415A78" w:rsidRDefault="007C3A8C" w:rsidP="00415A7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15A78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A041E3" w:rsidRPr="00415A78">
        <w:rPr>
          <w:rFonts w:ascii="Times New Roman" w:hAnsi="Times New Roman"/>
          <w:i/>
          <w:sz w:val="24"/>
          <w:szCs w:val="24"/>
        </w:rPr>
        <w:t>I</w:t>
      </w:r>
      <w:r w:rsidR="00844891" w:rsidRPr="00415A78">
        <w:rPr>
          <w:rFonts w:ascii="Times New Roman" w:hAnsi="Times New Roman"/>
          <w:i/>
          <w:sz w:val="24"/>
          <w:szCs w:val="24"/>
        </w:rPr>
        <w:t>I</w:t>
      </w:r>
      <w:r w:rsidRPr="00415A78">
        <w:rPr>
          <w:rFonts w:ascii="Times New Roman" w:hAnsi="Times New Roman"/>
          <w:i/>
          <w:sz w:val="24"/>
          <w:szCs w:val="24"/>
        </w:rPr>
        <w:t xml:space="preserve"> roczni</w:t>
      </w:r>
      <w:r w:rsidR="00374436" w:rsidRPr="00415A78">
        <w:rPr>
          <w:rFonts w:ascii="Times New Roman" w:hAnsi="Times New Roman"/>
          <w:i/>
          <w:sz w:val="24"/>
          <w:szCs w:val="24"/>
        </w:rPr>
        <w:t xml:space="preserve">ka aplikacji </w:t>
      </w:r>
      <w:r w:rsidR="0047266C" w:rsidRPr="00415A78">
        <w:rPr>
          <w:rFonts w:ascii="Times New Roman" w:hAnsi="Times New Roman"/>
          <w:i/>
          <w:sz w:val="24"/>
          <w:szCs w:val="24"/>
        </w:rPr>
        <w:t xml:space="preserve">uzupełniającej </w:t>
      </w:r>
      <w:r w:rsidR="00374436" w:rsidRPr="00415A78">
        <w:rPr>
          <w:rFonts w:ascii="Times New Roman" w:hAnsi="Times New Roman"/>
          <w:i/>
          <w:sz w:val="24"/>
          <w:szCs w:val="24"/>
        </w:rPr>
        <w:t xml:space="preserve">sędziowskiej po </w:t>
      </w:r>
      <w:r w:rsidR="00EF023F">
        <w:rPr>
          <w:rFonts w:ascii="Times New Roman" w:hAnsi="Times New Roman"/>
          <w:i/>
          <w:sz w:val="24"/>
          <w:szCs w:val="24"/>
        </w:rPr>
        <w:t>14</w:t>
      </w:r>
      <w:r w:rsidRPr="00415A78"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Pr="00415A78" w:rsidRDefault="007C3A8C" w:rsidP="00415A7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Pr="00415A78" w:rsidRDefault="007C3A8C" w:rsidP="00415A78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415A78">
        <w:rPr>
          <w:rFonts w:ascii="Times New Roman" w:hAnsi="Times New Roman"/>
          <w:b/>
          <w:sz w:val="24"/>
          <w:szCs w:val="24"/>
        </w:rPr>
        <w:t>Do</w:t>
      </w:r>
    </w:p>
    <w:p w14:paraId="2A94D1E6" w14:textId="651DE8A8" w:rsidR="007C3A8C" w:rsidRPr="00415A78" w:rsidRDefault="00B732B5" w:rsidP="00415A78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415A78">
        <w:rPr>
          <w:rFonts w:ascii="Times New Roman" w:hAnsi="Times New Roman"/>
          <w:b/>
          <w:sz w:val="24"/>
          <w:szCs w:val="24"/>
        </w:rPr>
        <w:t>P</w:t>
      </w:r>
      <w:r w:rsidR="007C3A8C" w:rsidRPr="00415A78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2F380094" w:rsidR="007C3A8C" w:rsidRPr="00415A78" w:rsidRDefault="007C3A8C" w:rsidP="00415A78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415A78">
        <w:rPr>
          <w:rFonts w:ascii="Times New Roman" w:hAnsi="Times New Roman"/>
          <w:b/>
          <w:sz w:val="24"/>
          <w:szCs w:val="24"/>
        </w:rPr>
        <w:t xml:space="preserve">oraz </w:t>
      </w:r>
      <w:r w:rsidR="00B732B5" w:rsidRPr="00415A78">
        <w:rPr>
          <w:rFonts w:ascii="Times New Roman" w:hAnsi="Times New Roman"/>
          <w:b/>
          <w:sz w:val="24"/>
          <w:szCs w:val="24"/>
        </w:rPr>
        <w:t>P</w:t>
      </w:r>
      <w:r w:rsidRPr="00415A78">
        <w:rPr>
          <w:rFonts w:ascii="Times New Roman" w:hAnsi="Times New Roman"/>
          <w:b/>
          <w:sz w:val="24"/>
          <w:szCs w:val="24"/>
        </w:rPr>
        <w:t>atronów koordynatorów</w:t>
      </w:r>
    </w:p>
    <w:p w14:paraId="3C55276D" w14:textId="5AD0DF6F" w:rsidR="007C3A8C" w:rsidRPr="00415A78" w:rsidRDefault="007C3A8C" w:rsidP="00415A78">
      <w:pPr>
        <w:spacing w:after="0" w:line="36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415A78">
        <w:rPr>
          <w:rFonts w:ascii="Times New Roman" w:hAnsi="Times New Roman"/>
          <w:b/>
          <w:sz w:val="24"/>
          <w:szCs w:val="24"/>
        </w:rPr>
        <w:t xml:space="preserve">aplikantów aplikacji </w:t>
      </w:r>
      <w:r w:rsidR="0047266C" w:rsidRPr="00415A78">
        <w:rPr>
          <w:rFonts w:ascii="Times New Roman" w:hAnsi="Times New Roman"/>
          <w:b/>
          <w:sz w:val="24"/>
          <w:szCs w:val="24"/>
        </w:rPr>
        <w:t>uzupełniającej</w:t>
      </w:r>
      <w:r w:rsidR="0047266C" w:rsidRPr="00415A78">
        <w:rPr>
          <w:rFonts w:ascii="Times New Roman" w:hAnsi="Times New Roman"/>
          <w:i/>
          <w:sz w:val="24"/>
          <w:szCs w:val="24"/>
        </w:rPr>
        <w:t xml:space="preserve"> </w:t>
      </w:r>
      <w:r w:rsidRPr="00415A78"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Pr="00415A78" w:rsidRDefault="007C3A8C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391505" w14:textId="7CFDE77C" w:rsidR="0047266C" w:rsidRPr="00415A78" w:rsidRDefault="0047266C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>U</w:t>
      </w:r>
      <w:r w:rsidR="007C3A8C" w:rsidRPr="00415A78">
        <w:rPr>
          <w:rFonts w:ascii="Times New Roman" w:hAnsi="Times New Roman"/>
          <w:sz w:val="24"/>
          <w:szCs w:val="24"/>
        </w:rPr>
        <w:t xml:space="preserve">przejmie przedstawiam szczegółowy zakres tematyczny, który winien być przedmiotem praktyk aplikantów </w:t>
      </w:r>
      <w:r w:rsidR="00A041E3" w:rsidRPr="00415A78">
        <w:rPr>
          <w:rFonts w:ascii="Times New Roman" w:hAnsi="Times New Roman"/>
          <w:sz w:val="24"/>
          <w:szCs w:val="24"/>
        </w:rPr>
        <w:t>II</w:t>
      </w:r>
      <w:r w:rsidR="007C3A8C" w:rsidRPr="00415A78">
        <w:rPr>
          <w:rFonts w:ascii="Times New Roman" w:hAnsi="Times New Roman"/>
          <w:sz w:val="24"/>
          <w:szCs w:val="24"/>
        </w:rPr>
        <w:t xml:space="preserve"> rocznika </w:t>
      </w:r>
      <w:r w:rsidRPr="00415A78">
        <w:rPr>
          <w:rFonts w:ascii="Times New Roman" w:hAnsi="Times New Roman"/>
          <w:sz w:val="24"/>
          <w:szCs w:val="24"/>
        </w:rPr>
        <w:t>AUS</w:t>
      </w:r>
      <w:r w:rsidR="007C3A8C" w:rsidRPr="00415A78">
        <w:rPr>
          <w:rFonts w:ascii="Times New Roman" w:hAnsi="Times New Roman"/>
          <w:sz w:val="24"/>
          <w:szCs w:val="24"/>
        </w:rPr>
        <w:t xml:space="preserve"> odbywanych w terminie </w:t>
      </w:r>
      <w:r w:rsidRPr="00415A78">
        <w:rPr>
          <w:rFonts w:ascii="Times New Roman" w:hAnsi="Times New Roman"/>
          <w:b/>
          <w:sz w:val="24"/>
          <w:szCs w:val="24"/>
        </w:rPr>
        <w:t xml:space="preserve">od </w:t>
      </w:r>
      <w:r w:rsidR="00EF023F">
        <w:rPr>
          <w:rFonts w:ascii="Times New Roman" w:hAnsi="Times New Roman"/>
          <w:b/>
          <w:sz w:val="24"/>
          <w:szCs w:val="24"/>
        </w:rPr>
        <w:t>14.03</w:t>
      </w:r>
      <w:r w:rsidR="00A041E3" w:rsidRPr="00415A78">
        <w:rPr>
          <w:rFonts w:ascii="Times New Roman" w:hAnsi="Times New Roman"/>
          <w:b/>
          <w:sz w:val="24"/>
          <w:szCs w:val="24"/>
        </w:rPr>
        <w:t>.2022</w:t>
      </w:r>
      <w:r w:rsidRPr="00415A78">
        <w:rPr>
          <w:rFonts w:ascii="Times New Roman" w:hAnsi="Times New Roman"/>
          <w:b/>
          <w:sz w:val="24"/>
          <w:szCs w:val="24"/>
        </w:rPr>
        <w:t xml:space="preserve"> r.</w:t>
      </w:r>
      <w:r w:rsidR="00EF023F">
        <w:rPr>
          <w:rFonts w:ascii="Times New Roman" w:hAnsi="Times New Roman"/>
          <w:b/>
          <w:sz w:val="24"/>
          <w:szCs w:val="24"/>
        </w:rPr>
        <w:t xml:space="preserve"> do 18</w:t>
      </w:r>
      <w:r w:rsidR="00A041E3" w:rsidRPr="00415A78">
        <w:rPr>
          <w:rFonts w:ascii="Times New Roman" w:hAnsi="Times New Roman"/>
          <w:b/>
          <w:sz w:val="24"/>
          <w:szCs w:val="24"/>
        </w:rPr>
        <w:t>.03.2022 r.</w:t>
      </w:r>
      <w:r w:rsidR="00A041E3" w:rsidRPr="00415A78">
        <w:rPr>
          <w:rFonts w:ascii="Times New Roman" w:hAnsi="Times New Roman"/>
          <w:sz w:val="24"/>
          <w:szCs w:val="24"/>
        </w:rPr>
        <w:t xml:space="preserve"> (w wymiarze 1 dnia roboczego</w:t>
      </w:r>
      <w:r w:rsidRPr="00415A78">
        <w:rPr>
          <w:rFonts w:ascii="Times New Roman" w:hAnsi="Times New Roman"/>
          <w:sz w:val="24"/>
          <w:szCs w:val="24"/>
        </w:rPr>
        <w:t xml:space="preserve">) </w:t>
      </w:r>
      <w:r w:rsidR="00A041E3" w:rsidRPr="00415A78">
        <w:rPr>
          <w:rFonts w:ascii="Times New Roman" w:hAnsi="Times New Roman"/>
          <w:sz w:val="24"/>
          <w:szCs w:val="24"/>
        </w:rPr>
        <w:t xml:space="preserve">oraz </w:t>
      </w:r>
      <w:r w:rsidR="00A041E3" w:rsidRPr="00415A78">
        <w:rPr>
          <w:rFonts w:ascii="Times New Roman" w:hAnsi="Times New Roman"/>
          <w:b/>
          <w:sz w:val="24"/>
          <w:szCs w:val="24"/>
        </w:rPr>
        <w:t>od</w:t>
      </w:r>
      <w:r w:rsidR="00A041E3" w:rsidRPr="00415A78">
        <w:rPr>
          <w:rFonts w:ascii="Times New Roman" w:hAnsi="Times New Roman"/>
          <w:sz w:val="24"/>
          <w:szCs w:val="24"/>
        </w:rPr>
        <w:t xml:space="preserve"> </w:t>
      </w:r>
      <w:r w:rsidR="00EF023F">
        <w:rPr>
          <w:rFonts w:ascii="Times New Roman" w:hAnsi="Times New Roman"/>
          <w:b/>
          <w:sz w:val="24"/>
          <w:szCs w:val="24"/>
        </w:rPr>
        <w:t>21</w:t>
      </w:r>
      <w:r w:rsidR="00A041E3" w:rsidRPr="00415A78">
        <w:rPr>
          <w:rFonts w:ascii="Times New Roman" w:hAnsi="Times New Roman"/>
          <w:b/>
          <w:sz w:val="24"/>
          <w:szCs w:val="24"/>
        </w:rPr>
        <w:t>.03.2022</w:t>
      </w:r>
      <w:r w:rsidR="00D036E5">
        <w:rPr>
          <w:rFonts w:ascii="Times New Roman" w:hAnsi="Times New Roman"/>
          <w:b/>
          <w:sz w:val="24"/>
          <w:szCs w:val="24"/>
        </w:rPr>
        <w:t xml:space="preserve"> </w:t>
      </w:r>
      <w:r w:rsidR="00A041E3" w:rsidRPr="00415A78">
        <w:rPr>
          <w:rFonts w:ascii="Times New Roman" w:hAnsi="Times New Roman"/>
          <w:b/>
          <w:sz w:val="24"/>
          <w:szCs w:val="24"/>
        </w:rPr>
        <w:t xml:space="preserve">r. do </w:t>
      </w:r>
      <w:r w:rsidR="00EF023F">
        <w:rPr>
          <w:rFonts w:ascii="Times New Roman" w:hAnsi="Times New Roman"/>
          <w:b/>
          <w:sz w:val="24"/>
          <w:szCs w:val="24"/>
        </w:rPr>
        <w:t>25</w:t>
      </w:r>
      <w:r w:rsidR="00A041E3" w:rsidRPr="00415A78">
        <w:rPr>
          <w:rFonts w:ascii="Times New Roman" w:hAnsi="Times New Roman"/>
          <w:b/>
          <w:sz w:val="24"/>
          <w:szCs w:val="24"/>
        </w:rPr>
        <w:t>.03.2022</w:t>
      </w:r>
      <w:r w:rsidR="00D036E5">
        <w:rPr>
          <w:rFonts w:ascii="Times New Roman" w:hAnsi="Times New Roman"/>
          <w:b/>
          <w:sz w:val="24"/>
          <w:szCs w:val="24"/>
        </w:rPr>
        <w:t xml:space="preserve">  </w:t>
      </w:r>
      <w:r w:rsidR="00A041E3" w:rsidRPr="00415A78">
        <w:rPr>
          <w:rFonts w:ascii="Times New Roman" w:hAnsi="Times New Roman"/>
          <w:b/>
          <w:sz w:val="24"/>
          <w:szCs w:val="24"/>
        </w:rPr>
        <w:t>r.</w:t>
      </w:r>
      <w:r w:rsidR="00A041E3" w:rsidRPr="00415A78">
        <w:rPr>
          <w:rFonts w:ascii="Times New Roman" w:hAnsi="Times New Roman"/>
          <w:sz w:val="24"/>
          <w:szCs w:val="24"/>
        </w:rPr>
        <w:t xml:space="preserve"> </w:t>
      </w:r>
      <w:r w:rsidR="00A041E3" w:rsidRPr="00415A78">
        <w:rPr>
          <w:rFonts w:ascii="Times New Roman" w:hAnsi="Times New Roman"/>
          <w:sz w:val="24"/>
          <w:szCs w:val="24"/>
        </w:rPr>
        <w:br/>
        <w:t xml:space="preserve">(w wymiarze 1 dnia roboczego) </w:t>
      </w:r>
      <w:r w:rsidR="007C3A8C" w:rsidRPr="00415A78">
        <w:rPr>
          <w:rFonts w:ascii="Times New Roman" w:hAnsi="Times New Roman"/>
          <w:sz w:val="24"/>
          <w:szCs w:val="24"/>
        </w:rPr>
        <w:t xml:space="preserve">po </w:t>
      </w:r>
      <w:r w:rsidR="00EF023F">
        <w:rPr>
          <w:rFonts w:ascii="Times New Roman" w:hAnsi="Times New Roman"/>
          <w:sz w:val="24"/>
          <w:szCs w:val="24"/>
        </w:rPr>
        <w:t>14</w:t>
      </w:r>
      <w:r w:rsidR="007C3A8C" w:rsidRPr="00415A78">
        <w:rPr>
          <w:rFonts w:ascii="Times New Roman" w:hAnsi="Times New Roman"/>
          <w:sz w:val="24"/>
          <w:szCs w:val="24"/>
        </w:rPr>
        <w:t xml:space="preserve"> zjeździe aplikacji </w:t>
      </w:r>
      <w:r w:rsidR="00A041E3" w:rsidRPr="00415A78">
        <w:rPr>
          <w:rFonts w:ascii="Times New Roman" w:hAnsi="Times New Roman"/>
          <w:sz w:val="24"/>
          <w:szCs w:val="24"/>
        </w:rPr>
        <w:t xml:space="preserve">uzupełniającej </w:t>
      </w:r>
      <w:r w:rsidR="007C3A8C" w:rsidRPr="00415A78">
        <w:rPr>
          <w:rFonts w:ascii="Times New Roman" w:hAnsi="Times New Roman"/>
          <w:sz w:val="24"/>
          <w:szCs w:val="24"/>
        </w:rPr>
        <w:t xml:space="preserve">sędziowskiej, który </w:t>
      </w:r>
      <w:r w:rsidRPr="00415A78">
        <w:rPr>
          <w:rFonts w:ascii="Times New Roman" w:hAnsi="Times New Roman"/>
          <w:sz w:val="24"/>
          <w:szCs w:val="24"/>
        </w:rPr>
        <w:t>odbywa</w:t>
      </w:r>
      <w:r w:rsidR="00B732B5" w:rsidRPr="00415A78">
        <w:rPr>
          <w:rFonts w:ascii="Times New Roman" w:hAnsi="Times New Roman"/>
          <w:sz w:val="24"/>
          <w:szCs w:val="24"/>
        </w:rPr>
        <w:t xml:space="preserve"> się</w:t>
      </w:r>
      <w:r w:rsidR="007C3A8C" w:rsidRPr="00415A78">
        <w:rPr>
          <w:rFonts w:ascii="Times New Roman" w:hAnsi="Times New Roman"/>
          <w:sz w:val="24"/>
          <w:szCs w:val="24"/>
        </w:rPr>
        <w:t xml:space="preserve"> </w:t>
      </w:r>
      <w:r w:rsidRPr="00415A78">
        <w:rPr>
          <w:rFonts w:ascii="Times New Roman" w:hAnsi="Times New Roman"/>
          <w:sz w:val="24"/>
          <w:szCs w:val="24"/>
        </w:rPr>
        <w:t>od</w:t>
      </w:r>
      <w:r w:rsidR="007C3A8C" w:rsidRPr="00415A78">
        <w:rPr>
          <w:rFonts w:ascii="Times New Roman" w:hAnsi="Times New Roman"/>
          <w:sz w:val="24"/>
          <w:szCs w:val="24"/>
        </w:rPr>
        <w:t xml:space="preserve"> </w:t>
      </w:r>
      <w:r w:rsidR="00D036E5">
        <w:rPr>
          <w:rFonts w:ascii="Times New Roman" w:hAnsi="Times New Roman"/>
          <w:sz w:val="24"/>
          <w:szCs w:val="24"/>
        </w:rPr>
        <w:t xml:space="preserve">12 </w:t>
      </w:r>
      <w:r w:rsidRPr="00415A78">
        <w:rPr>
          <w:rFonts w:ascii="Times New Roman" w:hAnsi="Times New Roman"/>
          <w:sz w:val="24"/>
          <w:szCs w:val="24"/>
        </w:rPr>
        <w:t xml:space="preserve"> do </w:t>
      </w:r>
      <w:r w:rsidR="00EF023F">
        <w:rPr>
          <w:rFonts w:ascii="Times New Roman" w:hAnsi="Times New Roman"/>
          <w:sz w:val="24"/>
          <w:szCs w:val="24"/>
        </w:rPr>
        <w:t>13.03</w:t>
      </w:r>
      <w:r w:rsidR="00A041E3" w:rsidRPr="00415A78">
        <w:rPr>
          <w:rFonts w:ascii="Times New Roman" w:hAnsi="Times New Roman"/>
          <w:sz w:val="24"/>
          <w:szCs w:val="24"/>
        </w:rPr>
        <w:t>.2022</w:t>
      </w:r>
      <w:r w:rsidRPr="00415A78">
        <w:rPr>
          <w:rFonts w:ascii="Times New Roman" w:hAnsi="Times New Roman"/>
          <w:sz w:val="24"/>
          <w:szCs w:val="24"/>
        </w:rPr>
        <w:t xml:space="preserve"> r. </w:t>
      </w:r>
    </w:p>
    <w:p w14:paraId="58A1E9E3" w14:textId="756554EE" w:rsidR="007C3A8C" w:rsidRPr="00415A78" w:rsidRDefault="007C3A8C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3627B3" w:rsidRPr="00415A78">
        <w:rPr>
          <w:rFonts w:ascii="Times New Roman" w:hAnsi="Times New Roman"/>
          <w:sz w:val="24"/>
          <w:szCs w:val="24"/>
        </w:rPr>
        <w:t xml:space="preserve"> z czynnościami i </w:t>
      </w:r>
      <w:r w:rsidRPr="00415A78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23B1FBE3" w14:textId="6974056F" w:rsidR="00C96523" w:rsidRDefault="007C3A8C" w:rsidP="00C965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A78">
        <w:rPr>
          <w:rFonts w:ascii="Times New Roman" w:hAnsi="Times New Roman"/>
          <w:sz w:val="24"/>
          <w:szCs w:val="24"/>
        </w:rPr>
        <w:t xml:space="preserve">Zgodnie z programem aplikacji </w:t>
      </w:r>
      <w:r w:rsidR="0047266C" w:rsidRPr="00415A78">
        <w:rPr>
          <w:rFonts w:ascii="Times New Roman" w:hAnsi="Times New Roman"/>
          <w:sz w:val="24"/>
          <w:szCs w:val="24"/>
        </w:rPr>
        <w:t>uzupełniającej</w:t>
      </w:r>
      <w:r w:rsidR="00A041E3" w:rsidRPr="00415A78">
        <w:rPr>
          <w:rFonts w:ascii="Times New Roman" w:hAnsi="Times New Roman"/>
          <w:sz w:val="24"/>
          <w:szCs w:val="24"/>
        </w:rPr>
        <w:t xml:space="preserve"> sędziowskiej</w:t>
      </w:r>
      <w:r w:rsidR="00374436" w:rsidRPr="00415A78">
        <w:rPr>
          <w:rFonts w:ascii="Times New Roman" w:hAnsi="Times New Roman"/>
          <w:sz w:val="24"/>
          <w:szCs w:val="24"/>
        </w:rPr>
        <w:t xml:space="preserve">, </w:t>
      </w:r>
      <w:r w:rsidR="00C32AE5" w:rsidRPr="00415A78">
        <w:rPr>
          <w:rFonts w:ascii="Times New Roman" w:hAnsi="Times New Roman"/>
          <w:sz w:val="24"/>
          <w:szCs w:val="24"/>
        </w:rPr>
        <w:t>tematyka</w:t>
      </w:r>
      <w:r w:rsidR="00374436" w:rsidRPr="00415A78">
        <w:rPr>
          <w:rFonts w:ascii="Times New Roman" w:hAnsi="Times New Roman"/>
          <w:sz w:val="24"/>
          <w:szCs w:val="24"/>
        </w:rPr>
        <w:t xml:space="preserve"> </w:t>
      </w:r>
      <w:r w:rsidR="00687199">
        <w:rPr>
          <w:rFonts w:ascii="Times New Roman" w:hAnsi="Times New Roman"/>
          <w:sz w:val="24"/>
          <w:szCs w:val="24"/>
        </w:rPr>
        <w:t>14</w:t>
      </w:r>
      <w:r w:rsidRPr="00415A78">
        <w:rPr>
          <w:rFonts w:ascii="Times New Roman" w:hAnsi="Times New Roman"/>
          <w:sz w:val="24"/>
          <w:szCs w:val="24"/>
        </w:rPr>
        <w:t xml:space="preserve"> zjazdu </w:t>
      </w:r>
      <w:r w:rsidR="00C32AE5" w:rsidRPr="00415A78">
        <w:rPr>
          <w:rFonts w:ascii="Times New Roman" w:hAnsi="Times New Roman"/>
          <w:sz w:val="24"/>
          <w:szCs w:val="24"/>
        </w:rPr>
        <w:t xml:space="preserve">obejmuje zagadnienia dotyczące </w:t>
      </w:r>
      <w:r w:rsidR="00687199">
        <w:rPr>
          <w:rFonts w:ascii="Times New Roman" w:hAnsi="Times New Roman"/>
          <w:sz w:val="24"/>
          <w:szCs w:val="24"/>
        </w:rPr>
        <w:t xml:space="preserve">przygotowania do rozprawy, postępowanie nakazowe i upominawcze, elektroniczne postępowanie upominawcze, postępowanie transgraniczne, </w:t>
      </w:r>
      <w:r w:rsidR="00687199">
        <w:rPr>
          <w:rFonts w:ascii="Times New Roman" w:hAnsi="Times New Roman"/>
          <w:sz w:val="24"/>
          <w:szCs w:val="24"/>
        </w:rPr>
        <w:lastRenderedPageBreak/>
        <w:t>postępowanie uproszczone</w:t>
      </w:r>
      <w:r w:rsidRPr="00415A78">
        <w:rPr>
          <w:rFonts w:ascii="Times New Roman" w:hAnsi="Times New Roman"/>
          <w:sz w:val="24"/>
          <w:szCs w:val="24"/>
        </w:rPr>
        <w:t xml:space="preserve">. Po zakończeniu zjazdu aplikanci mają odbyć </w:t>
      </w:r>
      <w:r w:rsidR="006B1A06" w:rsidRPr="00415A78">
        <w:rPr>
          <w:rFonts w:ascii="Times New Roman" w:hAnsi="Times New Roman"/>
          <w:sz w:val="24"/>
          <w:szCs w:val="24"/>
        </w:rPr>
        <w:t xml:space="preserve">praktykę </w:t>
      </w:r>
      <w:r w:rsidR="00D84572" w:rsidRPr="00415A78">
        <w:rPr>
          <w:rFonts w:ascii="Times New Roman" w:hAnsi="Times New Roman"/>
          <w:sz w:val="24"/>
          <w:szCs w:val="24"/>
        </w:rPr>
        <w:t xml:space="preserve">w sądzie </w:t>
      </w:r>
      <w:r w:rsidR="00D22A5C" w:rsidRPr="00415A78">
        <w:rPr>
          <w:rFonts w:ascii="Times New Roman" w:hAnsi="Times New Roman"/>
          <w:sz w:val="24"/>
          <w:szCs w:val="24"/>
        </w:rPr>
        <w:t>rejonowym</w:t>
      </w:r>
      <w:r w:rsidR="00C32AE5" w:rsidRPr="00415A78">
        <w:rPr>
          <w:rFonts w:ascii="Times New Roman" w:hAnsi="Times New Roman"/>
          <w:sz w:val="24"/>
          <w:szCs w:val="24"/>
        </w:rPr>
        <w:t>,</w:t>
      </w:r>
      <w:r w:rsidR="00D84572" w:rsidRPr="00415A78">
        <w:rPr>
          <w:rFonts w:ascii="Times New Roman" w:hAnsi="Times New Roman"/>
          <w:sz w:val="24"/>
          <w:szCs w:val="24"/>
        </w:rPr>
        <w:t xml:space="preserve"> </w:t>
      </w:r>
      <w:r w:rsidR="00B27341" w:rsidRPr="00415A78">
        <w:rPr>
          <w:rFonts w:ascii="Times New Roman" w:hAnsi="Times New Roman"/>
          <w:sz w:val="24"/>
          <w:szCs w:val="24"/>
        </w:rPr>
        <w:t>w</w:t>
      </w:r>
      <w:r w:rsidR="00D84572" w:rsidRPr="00415A78">
        <w:rPr>
          <w:rFonts w:ascii="Times New Roman" w:hAnsi="Times New Roman"/>
          <w:sz w:val="24"/>
          <w:szCs w:val="24"/>
        </w:rPr>
        <w:t xml:space="preserve"> wydzia</w:t>
      </w:r>
      <w:r w:rsidR="00B27341" w:rsidRPr="00415A78">
        <w:rPr>
          <w:rFonts w:ascii="Times New Roman" w:hAnsi="Times New Roman"/>
          <w:sz w:val="24"/>
          <w:szCs w:val="24"/>
        </w:rPr>
        <w:t>le</w:t>
      </w:r>
      <w:r w:rsidR="00D84572" w:rsidRPr="00415A78">
        <w:rPr>
          <w:rFonts w:ascii="Times New Roman" w:hAnsi="Times New Roman"/>
          <w:sz w:val="24"/>
          <w:szCs w:val="24"/>
        </w:rPr>
        <w:t xml:space="preserve"> </w:t>
      </w:r>
      <w:r w:rsidR="00A041E3" w:rsidRPr="00415A78">
        <w:rPr>
          <w:rFonts w:ascii="Times New Roman" w:hAnsi="Times New Roman"/>
          <w:sz w:val="24"/>
          <w:szCs w:val="24"/>
        </w:rPr>
        <w:t>cywilnym zajmującym się sprawami procesowymi.</w:t>
      </w:r>
    </w:p>
    <w:p w14:paraId="230166CA" w14:textId="77777777" w:rsidR="00C96523" w:rsidRPr="00C96523" w:rsidRDefault="00C96523" w:rsidP="00C965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232004" w14:textId="37827AE9" w:rsidR="00687199" w:rsidRPr="00C96523" w:rsidRDefault="00687199" w:rsidP="0068719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 xml:space="preserve">Z uwagi na powyższe patron praktyki i patron koordynator przy pracy z aplikantami powinni szczególną uwagę poświęcić podstawowym zagadnieniom </w:t>
      </w:r>
      <w:r w:rsidRPr="00CB7DC9">
        <w:rPr>
          <w:rFonts w:ascii="Times New Roman" w:hAnsi="Times New Roman"/>
          <w:b/>
          <w:sz w:val="24"/>
          <w:szCs w:val="24"/>
        </w:rPr>
        <w:t>prawa materialnego</w:t>
      </w:r>
      <w:r w:rsidRPr="00C96523">
        <w:rPr>
          <w:rFonts w:ascii="Times New Roman" w:hAnsi="Times New Roman"/>
          <w:sz w:val="24"/>
          <w:szCs w:val="24"/>
        </w:rPr>
        <w:t xml:space="preserve">, takim jak: </w:t>
      </w:r>
    </w:p>
    <w:p w14:paraId="3D901E4F" w14:textId="77777777" w:rsidR="00687199" w:rsidRPr="00C96523" w:rsidRDefault="00687199" w:rsidP="00687199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 xml:space="preserve">odpowiedzialność wekslowa, zagadnienia weksla in blanco, wypełnienie deklaracji wekslowej, odpowiedzialność wekslowa osoby podpisanej na wekslu, a działającej jako pełnomocnik, przeniesienie praw z weksla, </w:t>
      </w:r>
    </w:p>
    <w:p w14:paraId="389B9F6E" w14:textId="64D22D99" w:rsidR="00687199" w:rsidRPr="00D036E5" w:rsidRDefault="00687199" w:rsidP="00D036E5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>zagadnienia prawa wekslowego w kontekście moż</w:t>
      </w:r>
      <w:r w:rsidR="00D036E5">
        <w:rPr>
          <w:rFonts w:ascii="Times New Roman" w:hAnsi="Times New Roman"/>
          <w:sz w:val="24"/>
          <w:szCs w:val="24"/>
        </w:rPr>
        <w:t xml:space="preserve">liwości wydania nakazu zapłaty; </w:t>
      </w:r>
      <w:r w:rsidRPr="00D036E5">
        <w:rPr>
          <w:rFonts w:ascii="Times New Roman" w:hAnsi="Times New Roman"/>
          <w:sz w:val="24"/>
          <w:szCs w:val="24"/>
        </w:rPr>
        <w:t>zarzuty, jakie mogą być podniesione przez zobowiązanych z weksla, nieważność weksla, zarzuty co do stosunku podstawowego,</w:t>
      </w:r>
    </w:p>
    <w:p w14:paraId="463FB716" w14:textId="2C1186F1" w:rsidR="00687199" w:rsidRPr="006712B4" w:rsidRDefault="00D036E5" w:rsidP="006712B4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odpowiedzialność poręczyciela; </w:t>
      </w:r>
      <w:r w:rsidR="00687199" w:rsidRPr="00D036E5">
        <w:rPr>
          <w:rFonts w:ascii="Times New Roman" w:hAnsi="Times New Roman"/>
          <w:sz w:val="24"/>
          <w:szCs w:val="24"/>
        </w:rPr>
        <w:t xml:space="preserve">odpowiedzialność z tytułu niewykonania, bądź niewłaściwego </w:t>
      </w:r>
      <w:r w:rsidR="006712B4">
        <w:rPr>
          <w:rFonts w:ascii="Times New Roman" w:hAnsi="Times New Roman"/>
          <w:sz w:val="24"/>
          <w:szCs w:val="24"/>
        </w:rPr>
        <w:t xml:space="preserve">wykonania zobowiązania; </w:t>
      </w:r>
      <w:r w:rsidR="00687199" w:rsidRPr="006712B4">
        <w:rPr>
          <w:rFonts w:ascii="Times New Roman" w:hAnsi="Times New Roman"/>
          <w:sz w:val="24"/>
          <w:szCs w:val="24"/>
        </w:rPr>
        <w:t>przed</w:t>
      </w:r>
      <w:r w:rsidRPr="006712B4">
        <w:rPr>
          <w:rFonts w:ascii="Times New Roman" w:hAnsi="Times New Roman"/>
          <w:sz w:val="24"/>
          <w:szCs w:val="24"/>
        </w:rPr>
        <w:t xml:space="preserve">awnienie i zarzut przedawnienia; </w:t>
      </w:r>
      <w:r w:rsidR="00687199" w:rsidRPr="006712B4">
        <w:rPr>
          <w:rFonts w:ascii="Times New Roman" w:hAnsi="Times New Roman"/>
          <w:sz w:val="24"/>
          <w:szCs w:val="24"/>
        </w:rPr>
        <w:t>potrącenie i zarzut potrącenia.</w:t>
      </w:r>
    </w:p>
    <w:p w14:paraId="155FB3B7" w14:textId="77777777" w:rsidR="00687199" w:rsidRPr="00C96523" w:rsidRDefault="00687199" w:rsidP="0068719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7E3C77" w14:textId="77777777" w:rsidR="00687199" w:rsidRPr="00C96523" w:rsidRDefault="00687199" w:rsidP="00C96523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 xml:space="preserve">    Nadto patron praktyki powinien przy pracy z aplikantami poświęcić uwagę  zagadnieniom </w:t>
      </w:r>
      <w:r w:rsidRPr="00CB7DC9">
        <w:rPr>
          <w:rFonts w:ascii="Times New Roman" w:hAnsi="Times New Roman"/>
          <w:b/>
          <w:sz w:val="24"/>
          <w:szCs w:val="24"/>
        </w:rPr>
        <w:t>prawa procesowego</w:t>
      </w:r>
      <w:r w:rsidRPr="00C96523">
        <w:rPr>
          <w:rFonts w:ascii="Times New Roman" w:hAnsi="Times New Roman"/>
          <w:sz w:val="24"/>
          <w:szCs w:val="24"/>
        </w:rPr>
        <w:t xml:space="preserve">, takim jak: </w:t>
      </w:r>
    </w:p>
    <w:p w14:paraId="6CE2518F" w14:textId="77777777" w:rsidR="00687199" w:rsidRPr="00C96523" w:rsidRDefault="00687199" w:rsidP="00687199">
      <w:pPr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>przesłanki skierowania sprawy do postępowań odrębnych (nakazowego, upominawczego oraz postępowania uproszczonego), w tym badanie pozwu pod kątem skierowania sprawy do tych postępowań,</w:t>
      </w:r>
    </w:p>
    <w:p w14:paraId="415FBADC" w14:textId="77777777" w:rsidR="00687199" w:rsidRPr="00C96523" w:rsidRDefault="00687199" w:rsidP="00687199">
      <w:pPr>
        <w:numPr>
          <w:ilvl w:val="0"/>
          <w:numId w:val="34"/>
        </w:numPr>
        <w:overflowPunct w:val="0"/>
        <w:spacing w:after="0" w:line="360" w:lineRule="auto"/>
        <w:ind w:left="714" w:hanging="357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C96523">
        <w:rPr>
          <w:rFonts w:ascii="Times New Roman" w:eastAsia="SimSun" w:hAnsi="Times New Roman"/>
          <w:sz w:val="24"/>
          <w:szCs w:val="24"/>
          <w:lang w:eastAsia="hi-IN" w:bidi="hi-IN"/>
        </w:rPr>
        <w:t xml:space="preserve">przesłanki pozwalające na prowadzenie sprawy w </w:t>
      </w:r>
      <w:r w:rsidRPr="00C96523">
        <w:rPr>
          <w:rFonts w:ascii="Times New Roman" w:hAnsi="Times New Roman"/>
          <w:sz w:val="24"/>
          <w:szCs w:val="24"/>
        </w:rPr>
        <w:t xml:space="preserve">elektronicznym postępowaniu upominawczym, </w:t>
      </w:r>
    </w:p>
    <w:p w14:paraId="10905095" w14:textId="77777777" w:rsidR="00687199" w:rsidRPr="00C96523" w:rsidRDefault="00687199" w:rsidP="00687199">
      <w:pPr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 xml:space="preserve">odrębności postępowania nakazowego, upominawczego oraz uproszczonego, w tym: </w:t>
      </w:r>
    </w:p>
    <w:p w14:paraId="67ECF3F8" w14:textId="06AD03F2" w:rsidR="00687199" w:rsidRPr="006712B4" w:rsidRDefault="006712B4" w:rsidP="006712B4">
      <w:pPr>
        <w:numPr>
          <w:ilvl w:val="0"/>
          <w:numId w:val="44"/>
        </w:numPr>
        <w:spacing w:after="0"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przebieg tych postępowań; </w:t>
      </w:r>
      <w:r w:rsidR="00687199" w:rsidRPr="006712B4">
        <w:rPr>
          <w:rFonts w:ascii="Times New Roman" w:hAnsi="Times New Roman"/>
          <w:sz w:val="24"/>
          <w:szCs w:val="24"/>
        </w:rPr>
        <w:t xml:space="preserve">dokumenty stanowiące podstawę wydania nakazu zapłaty w postępowaniu upominawczym oraz nakazowym, </w:t>
      </w:r>
    </w:p>
    <w:p w14:paraId="27F9344D" w14:textId="79E0A2D7" w:rsidR="00BA4166" w:rsidRPr="00D036E5" w:rsidRDefault="00687199" w:rsidP="00D036E5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 xml:space="preserve">formułowanie </w:t>
      </w:r>
      <w:r w:rsidR="00D036E5">
        <w:rPr>
          <w:rFonts w:ascii="Times New Roman" w:hAnsi="Times New Roman"/>
          <w:sz w:val="24"/>
          <w:szCs w:val="24"/>
        </w:rPr>
        <w:t xml:space="preserve">orzeczeń w tych postępowaniach; </w:t>
      </w:r>
      <w:r w:rsidRPr="00D036E5">
        <w:rPr>
          <w:rFonts w:ascii="Times New Roman" w:hAnsi="Times New Roman"/>
          <w:sz w:val="24"/>
          <w:szCs w:val="24"/>
        </w:rPr>
        <w:t xml:space="preserve">środki zaskarżenia w postępowaniu nakazowym i upominawczym – zarzuty, sprzeciw, </w:t>
      </w:r>
    </w:p>
    <w:p w14:paraId="6C445BD8" w14:textId="77777777" w:rsidR="00BA4166" w:rsidRPr="00C96523" w:rsidRDefault="00687199" w:rsidP="00BA4166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>przebieg postępowania po złożeniu sprzeciwu lub zarzutów od nakazu zapłaty,</w:t>
      </w:r>
      <w:r w:rsidR="00BA4166" w:rsidRPr="00C96523">
        <w:rPr>
          <w:rFonts w:ascii="Times New Roman" w:hAnsi="Times New Roman"/>
          <w:sz w:val="24"/>
          <w:szCs w:val="24"/>
        </w:rPr>
        <w:t xml:space="preserve"> i rozstrzygnięcie sądu w tym zakresie, zakres zarzutów, ciężar dowodowy,  </w:t>
      </w:r>
    </w:p>
    <w:p w14:paraId="51649D16" w14:textId="2519FDA7" w:rsidR="00687199" w:rsidRPr="006712B4" w:rsidRDefault="00687199" w:rsidP="006712B4">
      <w:pPr>
        <w:numPr>
          <w:ilvl w:val="0"/>
          <w:numId w:val="44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lastRenderedPageBreak/>
        <w:t>odrębności w zakresie kosztów sądowych i kosztów</w:t>
      </w:r>
      <w:r w:rsidR="006712B4">
        <w:rPr>
          <w:rFonts w:ascii="Times New Roman" w:hAnsi="Times New Roman"/>
          <w:sz w:val="24"/>
          <w:szCs w:val="24"/>
        </w:rPr>
        <w:t xml:space="preserve"> procesu w tych postępowaniach; </w:t>
      </w:r>
      <w:r w:rsidRPr="006712B4">
        <w:rPr>
          <w:rFonts w:ascii="Times New Roman" w:hAnsi="Times New Roman"/>
          <w:sz w:val="24"/>
          <w:szCs w:val="24"/>
        </w:rPr>
        <w:t xml:space="preserve">czynności referendarza sądowego, w tym brak kompetencji do rozpoznania wniosku o zabezpieczenie,  </w:t>
      </w:r>
    </w:p>
    <w:p w14:paraId="1BEB3DD2" w14:textId="77777777" w:rsidR="00687199" w:rsidRPr="00C96523" w:rsidRDefault="00687199" w:rsidP="00BA4166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>specyfika postępowania uproszczonego: rodzaje spraw rozpoznawanych w tym postępowaniu, kumulacja i rozdrobnienie roszczeń w postępowaniu uproszczonym, postępowanie dowodowe, warunki wniesienia powództwa wzajemnego oraz podniesienia zarzutu potrącenia, postępowanie apelacyjne w postępowaniu uproszczonym – jego odmienność,</w:t>
      </w:r>
    </w:p>
    <w:p w14:paraId="23FD4D3F" w14:textId="02E63E82" w:rsidR="00687199" w:rsidRPr="00C96523" w:rsidRDefault="00687199" w:rsidP="004F6F4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>specyfika postępowania nakazowego i upominawczego: nakaz zapłaty w postępowaniu nakazowym jako tytuł zabezpieczenia, prawidłowe doręczenie nakazu zapłaty i środki obrony pozwanego w razie nieprawidłowego doręczenia, wniosek o wstrzymanie wykonalności nakazu zapłaty, postępowanie sądowe po wniesieniu zarzutów lub sprzeciwu  elektroniczne postępowanie upominawcze – jego specyfika,</w:t>
      </w:r>
    </w:p>
    <w:p w14:paraId="75F57F63" w14:textId="77777777" w:rsidR="00687199" w:rsidRPr="00C96523" w:rsidRDefault="00687199" w:rsidP="00687199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>europejskie postępowania cywilne (europejskie postępowania nakazowe, postępowanie w sprawach drobnych roszczeń).</w:t>
      </w:r>
    </w:p>
    <w:p w14:paraId="6625017B" w14:textId="77777777" w:rsidR="00687199" w:rsidRPr="00C96523" w:rsidRDefault="00687199" w:rsidP="006871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B6CA17" w14:textId="77777777" w:rsidR="00687199" w:rsidRPr="00C96523" w:rsidRDefault="00687199" w:rsidP="006871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6523">
        <w:rPr>
          <w:rFonts w:ascii="Times New Roman" w:hAnsi="Times New Roman"/>
          <w:sz w:val="24"/>
          <w:szCs w:val="24"/>
        </w:rPr>
        <w:t xml:space="preserve">       W trakcie praktyki należy zapoznać aplikantów ze sprawami rozpoznawanymi w postępowaniu upominawczym, nakazowym i uproszczonym. Aplikanci w trakcie praktyki powinni przede wszystkim być zaangażowani w czynności oceny powództwa w kontekście rozpoznania sprawy w postępowaniu nakazowym, bądź upominawczym, badania czy dane roszczenie określone w pozwie nadaje się do rozpoznania w postępowaniu uproszczonym, w tym wydawanie niezbędnych zarządzeń przewodniczącego w tym zakresie, podejmowanie czynności związanych z przekazaniem sprawy według właściwości funkcjonalnej. Nadto aplikanci winni być angażowani w wykonywanie czynności obejmujących wydawanie projektów nakazów zapłaty w postępowaniu nakazowym i upominawczym, w tym także w europejskim postępowaniu nakazowym i postępowaniu w sprawie drobnych roszczeń oraz wydawanie zarządzeń do tych nakazów, a także przeprowadzanie postępowania dowodowego w postępowaniu uproszczonym. W szczególności aplikanci winni zapoznawać się ze sprawami rozpoznawanymi w postępowaniu nakazowym, w których podstawą wydania nakazu zapłaty jest weksel. Patron praktyki powinien dołożyć szczególnych starań, aby nauczyć aplikantów techniki prowadzenia postępowania po wpłynięciu pozwu w postępowaniu nakazowym, upominawczym, uproszczonym, w tym: kontroli czy dana sprawa nadaje się do rozpoznania w tym trybie, redagowania nakazów zapłaty w postępowaniu </w:t>
      </w:r>
      <w:r w:rsidRPr="00C96523">
        <w:rPr>
          <w:rFonts w:ascii="Times New Roman" w:hAnsi="Times New Roman"/>
          <w:sz w:val="24"/>
          <w:szCs w:val="24"/>
        </w:rPr>
        <w:lastRenderedPageBreak/>
        <w:t xml:space="preserve">nakazowym i upominawczym, wydawania zarządzeń do nakazów zapłaty, badania wniesionych zarzutów lub sprzeciwu, w tym wydawania zarządzeń po wniesieniu zarzutów lub sprzeciwu. Aplikanci w trakcie praktyki winni nabyć umiejętność prawidłowego formułowania zarządzeń i orzeczeń w postępowaniach: uproszczonym, nakazowym, upominawczym. Nadto patron praktyki powinien zapoznać aplikantów z metodyką prowadzenia spraw po wniesieniu sprzeciwu od nakazu zapłaty w elektronicznym postępowaniu upominawczym oraz po stwierdzeniu braku podstaw do wydania nakazu zapłaty w elektronicznym postępowaniu upominawczym i przekazaniu sprawy do rozpoznania sądowi właściwości ogólnej.   </w:t>
      </w:r>
    </w:p>
    <w:p w14:paraId="21A21F42" w14:textId="70B62705" w:rsidR="00463B84" w:rsidRPr="00415A78" w:rsidRDefault="00463B84" w:rsidP="00BA416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01204B" w14:textId="626DE2FD" w:rsidR="00C6540D" w:rsidRPr="00D036E5" w:rsidRDefault="00463B84" w:rsidP="00415A78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5A78"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 w:rsidRPr="00D036E5">
        <w:rPr>
          <w:rFonts w:ascii="Times New Roman" w:hAnsi="Times New Roman"/>
          <w:b/>
          <w:sz w:val="24"/>
          <w:szCs w:val="24"/>
          <w:u w:val="single"/>
        </w:rPr>
        <w:t>trakcie praktyki należy zlecić aplikantowi sporządzenie projektów następujących decyzji procesowych</w:t>
      </w:r>
      <w:r w:rsidR="00C6540D" w:rsidRPr="00D036E5">
        <w:rPr>
          <w:rFonts w:ascii="Times New Roman" w:hAnsi="Times New Roman"/>
          <w:b/>
          <w:sz w:val="24"/>
          <w:szCs w:val="24"/>
          <w:u w:val="single"/>
        </w:rPr>
        <w:t xml:space="preserve"> (czynności obowiązkowe):</w:t>
      </w:r>
    </w:p>
    <w:p w14:paraId="2CA9EB17" w14:textId="77777777" w:rsidR="00463B84" w:rsidRPr="00D036E5" w:rsidRDefault="00463B84" w:rsidP="00415A7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2D888A1" w14:textId="57BFDB9A" w:rsidR="00CB7DC9" w:rsidRPr="00D036E5" w:rsidRDefault="00BA4166" w:rsidP="00CB7DC9">
      <w:pPr>
        <w:pStyle w:val="Teksttreci60"/>
        <w:shd w:val="clear" w:color="auto" w:fill="auto"/>
        <w:spacing w:line="360" w:lineRule="auto"/>
        <w:ind w:left="426" w:hanging="284"/>
        <w:jc w:val="both"/>
        <w:rPr>
          <w:sz w:val="24"/>
          <w:szCs w:val="24"/>
        </w:rPr>
      </w:pPr>
      <w:r w:rsidRPr="00D036E5">
        <w:rPr>
          <w:sz w:val="24"/>
          <w:szCs w:val="24"/>
        </w:rPr>
        <w:t>1) nakazu zapłaty w postępowaniu upominawczym i nakazowym wraz z zarządzeniami</w:t>
      </w:r>
      <w:r w:rsidR="00CB7DC9" w:rsidRPr="00D036E5">
        <w:rPr>
          <w:sz w:val="24"/>
          <w:szCs w:val="24"/>
        </w:rPr>
        <w:br/>
      </w:r>
      <w:r w:rsidRPr="00D036E5">
        <w:rPr>
          <w:sz w:val="24"/>
          <w:szCs w:val="24"/>
        </w:rPr>
        <w:t xml:space="preserve"> do wydawanych nakazów zapłaty;</w:t>
      </w:r>
    </w:p>
    <w:p w14:paraId="1C1E5273" w14:textId="77777777" w:rsidR="00CB7DC9" w:rsidRPr="00D036E5" w:rsidRDefault="00CB7DC9" w:rsidP="00CB7DC9">
      <w:pPr>
        <w:pStyle w:val="Teksttreci60"/>
        <w:numPr>
          <w:ilvl w:val="0"/>
          <w:numId w:val="48"/>
        </w:numPr>
        <w:shd w:val="clear" w:color="auto" w:fill="auto"/>
        <w:spacing w:line="360" w:lineRule="auto"/>
        <w:ind w:left="426" w:hanging="284"/>
        <w:jc w:val="both"/>
        <w:rPr>
          <w:sz w:val="24"/>
          <w:szCs w:val="24"/>
        </w:rPr>
      </w:pPr>
      <w:r w:rsidRPr="00D036E5">
        <w:rPr>
          <w:sz w:val="24"/>
          <w:szCs w:val="24"/>
        </w:rPr>
        <w:t>zarządzeń wydawanych po wniesieniu zarzutów od nakazu zapłaty w postępowaniu nakazowym i sprzeciwu od nakazu zapłaty w postępowaniu upominawczym;</w:t>
      </w:r>
    </w:p>
    <w:p w14:paraId="6C7C2FA5" w14:textId="77777777" w:rsidR="00CB7DC9" w:rsidRPr="00D036E5" w:rsidRDefault="00BA4166" w:rsidP="00CB7DC9">
      <w:pPr>
        <w:pStyle w:val="Teksttreci60"/>
        <w:numPr>
          <w:ilvl w:val="0"/>
          <w:numId w:val="48"/>
        </w:numPr>
        <w:shd w:val="clear" w:color="auto" w:fill="auto"/>
        <w:spacing w:line="360" w:lineRule="auto"/>
        <w:ind w:left="426" w:hanging="284"/>
        <w:jc w:val="both"/>
        <w:rPr>
          <w:sz w:val="24"/>
          <w:szCs w:val="24"/>
        </w:rPr>
      </w:pPr>
      <w:r w:rsidRPr="00D036E5">
        <w:rPr>
          <w:sz w:val="24"/>
          <w:szCs w:val="24"/>
        </w:rPr>
        <w:t xml:space="preserve"> postanowienia w przedmiocie odrzucenia sprzeciwu lub zarzutów od nakazu zapłaty</w:t>
      </w:r>
      <w:r w:rsidR="00D45EE8" w:rsidRPr="00D036E5">
        <w:rPr>
          <w:sz w:val="24"/>
          <w:szCs w:val="24"/>
        </w:rPr>
        <w:t xml:space="preserve"> wraz z uzasadnieniem</w:t>
      </w:r>
      <w:r w:rsidRPr="00D036E5">
        <w:rPr>
          <w:sz w:val="24"/>
          <w:szCs w:val="24"/>
        </w:rPr>
        <w:t>;</w:t>
      </w:r>
    </w:p>
    <w:p w14:paraId="5B5722E8" w14:textId="471785FE" w:rsidR="00D45EE8" w:rsidRPr="00D036E5" w:rsidRDefault="00D45EE8" w:rsidP="00CB7DC9">
      <w:pPr>
        <w:pStyle w:val="Teksttreci60"/>
        <w:numPr>
          <w:ilvl w:val="0"/>
          <w:numId w:val="48"/>
        </w:numPr>
        <w:shd w:val="clear" w:color="auto" w:fill="auto"/>
        <w:spacing w:line="360" w:lineRule="auto"/>
        <w:ind w:left="426" w:hanging="284"/>
        <w:jc w:val="both"/>
        <w:rPr>
          <w:sz w:val="24"/>
          <w:szCs w:val="24"/>
        </w:rPr>
      </w:pPr>
      <w:r w:rsidRPr="00D036E5">
        <w:rPr>
          <w:sz w:val="24"/>
          <w:szCs w:val="24"/>
          <w:lang w:val="pl"/>
        </w:rPr>
        <w:t>wyroku po rozpoznaniu zarzutów od nakazu zapłaty w postępowaniu nakazowym.</w:t>
      </w:r>
    </w:p>
    <w:p w14:paraId="25ED98D6" w14:textId="77777777" w:rsidR="00BA4166" w:rsidRPr="00D036E5" w:rsidRDefault="00BA4166" w:rsidP="0001405B">
      <w:pPr>
        <w:pStyle w:val="Teksttreci60"/>
        <w:shd w:val="clear" w:color="auto" w:fill="auto"/>
        <w:spacing w:line="360" w:lineRule="auto"/>
        <w:ind w:left="80"/>
        <w:jc w:val="both"/>
        <w:rPr>
          <w:sz w:val="24"/>
          <w:szCs w:val="24"/>
        </w:rPr>
      </w:pPr>
    </w:p>
    <w:p w14:paraId="5EB69FAC" w14:textId="77777777" w:rsidR="00BA4166" w:rsidRPr="00D036E5" w:rsidRDefault="00BA4166" w:rsidP="0001405B">
      <w:pPr>
        <w:pStyle w:val="Teksttreci60"/>
        <w:shd w:val="clear" w:color="auto" w:fill="auto"/>
        <w:spacing w:line="360" w:lineRule="auto"/>
        <w:ind w:left="80"/>
        <w:jc w:val="both"/>
        <w:rPr>
          <w:sz w:val="24"/>
          <w:szCs w:val="24"/>
        </w:rPr>
      </w:pPr>
    </w:p>
    <w:p w14:paraId="043884D0" w14:textId="07D6EB49" w:rsidR="00C6540D" w:rsidRPr="00D036E5" w:rsidRDefault="00C6540D" w:rsidP="0001405B">
      <w:pPr>
        <w:pStyle w:val="Teksttreci60"/>
        <w:shd w:val="clear" w:color="auto" w:fill="auto"/>
        <w:spacing w:line="360" w:lineRule="auto"/>
        <w:ind w:left="80" w:firstLine="360"/>
        <w:jc w:val="both"/>
        <w:rPr>
          <w:sz w:val="24"/>
          <w:szCs w:val="24"/>
        </w:rPr>
      </w:pPr>
      <w:r w:rsidRPr="00D036E5">
        <w:rPr>
          <w:sz w:val="24"/>
          <w:szCs w:val="24"/>
        </w:rPr>
        <w:t>Dodatkowo zaleca się</w:t>
      </w:r>
      <w:r w:rsidR="00D036E5" w:rsidRPr="00D036E5">
        <w:rPr>
          <w:sz w:val="24"/>
          <w:szCs w:val="24"/>
        </w:rPr>
        <w:t>, w miarę możliwości czasowych,</w:t>
      </w:r>
      <w:r w:rsidRPr="00D036E5">
        <w:rPr>
          <w:sz w:val="24"/>
          <w:szCs w:val="24"/>
        </w:rPr>
        <w:t xml:space="preserve"> powierzenie aplikantowi </w:t>
      </w:r>
      <w:r w:rsidR="00A90B8C" w:rsidRPr="00D036E5">
        <w:rPr>
          <w:sz w:val="24"/>
          <w:szCs w:val="24"/>
        </w:rPr>
        <w:t>sporządzenia następujących projektów decyzji procesowych</w:t>
      </w:r>
      <w:r w:rsidRPr="00D036E5">
        <w:rPr>
          <w:sz w:val="24"/>
          <w:szCs w:val="24"/>
        </w:rPr>
        <w:t xml:space="preserve">: </w:t>
      </w:r>
    </w:p>
    <w:p w14:paraId="15AFF72C" w14:textId="77777777" w:rsidR="00D45EE8" w:rsidRPr="00D036E5" w:rsidRDefault="00D45EE8" w:rsidP="00D45EE8">
      <w:pPr>
        <w:pStyle w:val="Teksttreci60"/>
        <w:shd w:val="clear" w:color="auto" w:fill="auto"/>
        <w:tabs>
          <w:tab w:val="left" w:leader="dot" w:pos="3810"/>
        </w:tabs>
        <w:spacing w:line="240" w:lineRule="auto"/>
        <w:ind w:left="415"/>
        <w:jc w:val="both"/>
        <w:rPr>
          <w:sz w:val="24"/>
          <w:szCs w:val="24"/>
        </w:rPr>
      </w:pPr>
    </w:p>
    <w:p w14:paraId="14C1F44D" w14:textId="77777777" w:rsidR="00D45EE8" w:rsidRPr="00D036E5" w:rsidRDefault="00D45EE8" w:rsidP="00D45EE8">
      <w:pPr>
        <w:pStyle w:val="Teksttreci60"/>
        <w:numPr>
          <w:ilvl w:val="0"/>
          <w:numId w:val="37"/>
        </w:numPr>
        <w:shd w:val="clear" w:color="auto" w:fill="auto"/>
        <w:tabs>
          <w:tab w:val="left" w:leader="dot" w:pos="3810"/>
        </w:tabs>
        <w:spacing w:line="360" w:lineRule="auto"/>
        <w:jc w:val="both"/>
        <w:rPr>
          <w:sz w:val="24"/>
          <w:szCs w:val="24"/>
        </w:rPr>
      </w:pPr>
      <w:r w:rsidRPr="00D036E5">
        <w:rPr>
          <w:sz w:val="24"/>
          <w:szCs w:val="24"/>
        </w:rPr>
        <w:t>zarządzenia wzywającego do uzupełnienia braków formalnych i fiskalnych pozwu w postępowaniu nakazowym, upominawczym, uproszczonym;</w:t>
      </w:r>
    </w:p>
    <w:p w14:paraId="21A78B1F" w14:textId="1144BAE1" w:rsidR="00D45EE8" w:rsidRPr="00D036E5" w:rsidRDefault="00D45EE8" w:rsidP="00D45EE8">
      <w:pPr>
        <w:pStyle w:val="Teksttreci60"/>
        <w:numPr>
          <w:ilvl w:val="0"/>
          <w:numId w:val="37"/>
        </w:numPr>
        <w:shd w:val="clear" w:color="auto" w:fill="auto"/>
        <w:tabs>
          <w:tab w:val="left" w:leader="dot" w:pos="3810"/>
        </w:tabs>
        <w:spacing w:line="360" w:lineRule="auto"/>
        <w:jc w:val="both"/>
        <w:rPr>
          <w:sz w:val="24"/>
          <w:szCs w:val="24"/>
        </w:rPr>
      </w:pPr>
      <w:r w:rsidRPr="00D036E5">
        <w:rPr>
          <w:sz w:val="24"/>
          <w:szCs w:val="24"/>
        </w:rPr>
        <w:t>decyzji w zakresie braku podstaw do rozpoznania sprawy w postępowaniu nakazowym, upominawczym, uproszczonym, w tym przekazaniu sprawy do odrębnego trybu -  zaskarżalnym postanowieniem sądu (wraz z uzasadnieniem) i niezaskarżalnym zarządzeniem przewodniczącego;</w:t>
      </w:r>
    </w:p>
    <w:p w14:paraId="081DD981" w14:textId="0E5955A6" w:rsidR="00D45EE8" w:rsidRPr="00D036E5" w:rsidRDefault="00D45EE8" w:rsidP="00D45EE8">
      <w:pPr>
        <w:pStyle w:val="Teksttreci60"/>
        <w:numPr>
          <w:ilvl w:val="0"/>
          <w:numId w:val="37"/>
        </w:numPr>
        <w:shd w:val="clear" w:color="auto" w:fill="auto"/>
        <w:tabs>
          <w:tab w:val="left" w:leader="dot" w:pos="3810"/>
        </w:tabs>
        <w:spacing w:line="360" w:lineRule="auto"/>
        <w:jc w:val="both"/>
        <w:rPr>
          <w:sz w:val="24"/>
          <w:szCs w:val="24"/>
        </w:rPr>
      </w:pPr>
      <w:r w:rsidRPr="00D036E5">
        <w:rPr>
          <w:sz w:val="24"/>
          <w:szCs w:val="24"/>
        </w:rPr>
        <w:t>postanowienia o wstrzymaniu wykonalności nakazu zapłaty w postępowaniu nakazowym wraz z uzasadnieniem;</w:t>
      </w:r>
    </w:p>
    <w:p w14:paraId="08FB287A" w14:textId="5D6FEAD5" w:rsidR="00D45EE8" w:rsidRPr="00D036E5" w:rsidRDefault="00D45EE8" w:rsidP="00D45EE8">
      <w:pPr>
        <w:pStyle w:val="Teksttreci60"/>
        <w:numPr>
          <w:ilvl w:val="0"/>
          <w:numId w:val="37"/>
        </w:numPr>
        <w:shd w:val="clear" w:color="auto" w:fill="auto"/>
        <w:tabs>
          <w:tab w:val="left" w:leader="dot" w:pos="3810"/>
        </w:tabs>
        <w:spacing w:line="360" w:lineRule="auto"/>
        <w:jc w:val="both"/>
        <w:rPr>
          <w:sz w:val="24"/>
          <w:szCs w:val="24"/>
        </w:rPr>
      </w:pPr>
      <w:r w:rsidRPr="00D036E5">
        <w:rPr>
          <w:sz w:val="24"/>
          <w:szCs w:val="24"/>
          <w:lang w:val="pl"/>
        </w:rPr>
        <w:t>wyroku po rozpoznaniu sprzeciwu od nakazu zapłaty w postępowaniu upominawczym</w:t>
      </w:r>
      <w:r w:rsidRPr="00D036E5">
        <w:rPr>
          <w:sz w:val="24"/>
          <w:szCs w:val="24"/>
        </w:rPr>
        <w:t>.</w:t>
      </w:r>
    </w:p>
    <w:p w14:paraId="264C7FC0" w14:textId="6FC5E80A" w:rsidR="00D45EE8" w:rsidRPr="00D036E5" w:rsidRDefault="00D45EE8" w:rsidP="00D45EE8">
      <w:pPr>
        <w:pStyle w:val="Teksttreci60"/>
        <w:shd w:val="clear" w:color="auto" w:fill="auto"/>
        <w:tabs>
          <w:tab w:val="left" w:leader="dot" w:pos="3810"/>
        </w:tabs>
        <w:spacing w:line="240" w:lineRule="auto"/>
        <w:jc w:val="both"/>
        <w:rPr>
          <w:sz w:val="24"/>
          <w:szCs w:val="24"/>
        </w:rPr>
      </w:pPr>
    </w:p>
    <w:p w14:paraId="09CABCF6" w14:textId="307BC46D" w:rsidR="00C6540D" w:rsidRPr="00D036E5" w:rsidRDefault="00C6540D" w:rsidP="000140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F515C3" w14:textId="1882362D" w:rsidR="00C6540D" w:rsidRPr="00D036E5" w:rsidRDefault="00C6540D" w:rsidP="000140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6E5">
        <w:rPr>
          <w:rFonts w:ascii="Times New Roman" w:hAnsi="Times New Roman"/>
          <w:sz w:val="24"/>
          <w:szCs w:val="24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003F0AC2" w14:textId="77777777" w:rsidR="00C96523" w:rsidRPr="00D036E5" w:rsidRDefault="00C96523" w:rsidP="00C96523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36E5">
        <w:rPr>
          <w:rFonts w:ascii="Times New Roman" w:hAnsi="Times New Roman"/>
          <w:b/>
          <w:sz w:val="24"/>
          <w:szCs w:val="24"/>
        </w:rPr>
        <w:t xml:space="preserve">Po wykonaniu przez aplikanta czynności należy szczegółowo omówić z nim wyniki jego pracy. </w:t>
      </w:r>
    </w:p>
    <w:p w14:paraId="56651E0F" w14:textId="77777777" w:rsidR="00C96523" w:rsidRPr="00D036E5" w:rsidRDefault="00C96523" w:rsidP="0001405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CD929C" w14:textId="75B5DBCA" w:rsidR="00844891" w:rsidRPr="00D036E5" w:rsidRDefault="00844891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C4FB94" w14:textId="77777777" w:rsidR="00844891" w:rsidRPr="00D036E5" w:rsidRDefault="00844891" w:rsidP="00415A78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36E5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08F45E05" w14:textId="77777777" w:rsidR="00844891" w:rsidRPr="00415A78" w:rsidRDefault="00844891" w:rsidP="00415A78">
      <w:pPr>
        <w:spacing w:after="0" w:line="36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36E5">
        <w:rPr>
          <w:rFonts w:ascii="Times New Roman" w:eastAsia="Times New Roman" w:hAnsi="Times New Roman"/>
          <w:sz w:val="24"/>
          <w:szCs w:val="24"/>
          <w:lang w:eastAsia="pl-PL"/>
        </w:rPr>
        <w:t>dr Mariusz</w:t>
      </w:r>
      <w:r w:rsidRPr="00415A78">
        <w:rPr>
          <w:rFonts w:ascii="Times New Roman" w:eastAsia="Times New Roman" w:hAnsi="Times New Roman"/>
          <w:sz w:val="24"/>
          <w:szCs w:val="24"/>
          <w:lang w:eastAsia="pl-PL"/>
        </w:rPr>
        <w:t xml:space="preserve"> Kucharczyk</w:t>
      </w:r>
    </w:p>
    <w:p w14:paraId="21C7A608" w14:textId="77777777" w:rsidR="00844891" w:rsidRPr="00415A78" w:rsidRDefault="00844891" w:rsidP="00415A78">
      <w:pPr>
        <w:spacing w:after="0" w:line="36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5A78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14:paraId="167E13A9" w14:textId="77777777" w:rsidR="00844891" w:rsidRPr="00415A78" w:rsidRDefault="00844891" w:rsidP="00415A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844891" w:rsidRPr="00415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97641" w14:textId="77777777" w:rsidR="002D4C20" w:rsidRDefault="002D4C20" w:rsidP="00AA67CD">
      <w:pPr>
        <w:spacing w:after="0" w:line="240" w:lineRule="auto"/>
      </w:pPr>
      <w:r>
        <w:separator/>
      </w:r>
    </w:p>
  </w:endnote>
  <w:endnote w:type="continuationSeparator" w:id="0">
    <w:p w14:paraId="087D24DB" w14:textId="77777777" w:rsidR="002D4C20" w:rsidRDefault="002D4C20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79730" w14:textId="77777777" w:rsidR="00F409BB" w:rsidRDefault="00F409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A102" w14:textId="77777777" w:rsidR="00C6540D" w:rsidRPr="00F409BB" w:rsidRDefault="00C6540D" w:rsidP="00F409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BAA1F" w14:textId="77777777" w:rsidR="00F409BB" w:rsidRDefault="00F40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5FD5D" w14:textId="77777777" w:rsidR="002D4C20" w:rsidRDefault="002D4C20" w:rsidP="00AA67CD">
      <w:pPr>
        <w:spacing w:after="0" w:line="240" w:lineRule="auto"/>
      </w:pPr>
      <w:r>
        <w:separator/>
      </w:r>
    </w:p>
  </w:footnote>
  <w:footnote w:type="continuationSeparator" w:id="0">
    <w:p w14:paraId="1C89CBC9" w14:textId="77777777" w:rsidR="002D4C20" w:rsidRDefault="002D4C20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4A77" w14:textId="77777777" w:rsidR="00F409BB" w:rsidRDefault="00F409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0BDB" w14:textId="77777777" w:rsidR="00F409BB" w:rsidRDefault="00F409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1C3C" w14:textId="77777777" w:rsidR="00F409BB" w:rsidRDefault="00F40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F52"/>
    <w:multiLevelType w:val="hybridMultilevel"/>
    <w:tmpl w:val="6180FD1E"/>
    <w:lvl w:ilvl="0" w:tplc="04150011">
      <w:start w:val="1"/>
      <w:numFmt w:val="decimal"/>
      <w:lvlText w:val="%1)"/>
      <w:lvlJc w:val="left"/>
      <w:pPr>
        <w:ind w:left="440" w:hanging="360"/>
      </w:pPr>
      <w:rPr>
        <w:rFonts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240429B4">
      <w:start w:val="1"/>
      <w:numFmt w:val="lowerLetter"/>
      <w:lvlText w:val="%3)"/>
      <w:lvlJc w:val="left"/>
      <w:pPr>
        <w:ind w:left="20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B2C55"/>
    <w:multiLevelType w:val="hybridMultilevel"/>
    <w:tmpl w:val="39B64AC8"/>
    <w:lvl w:ilvl="0" w:tplc="04150011">
      <w:start w:val="1"/>
      <w:numFmt w:val="decimal"/>
      <w:lvlText w:val="%1)"/>
      <w:lvlJc w:val="left"/>
      <w:pPr>
        <w:ind w:left="502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B11587"/>
    <w:multiLevelType w:val="hybridMultilevel"/>
    <w:tmpl w:val="2C18F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792"/>
    <w:multiLevelType w:val="hybridMultilevel"/>
    <w:tmpl w:val="919A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3429C"/>
    <w:multiLevelType w:val="hybridMultilevel"/>
    <w:tmpl w:val="3508C64C"/>
    <w:lvl w:ilvl="0" w:tplc="D09433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73CBE"/>
    <w:multiLevelType w:val="hybridMultilevel"/>
    <w:tmpl w:val="15D853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90246096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 w15:restartNumberingAfterBreak="0">
    <w:nsid w:val="205634EC"/>
    <w:multiLevelType w:val="hybridMultilevel"/>
    <w:tmpl w:val="7C66E2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2245D"/>
    <w:multiLevelType w:val="hybridMultilevel"/>
    <w:tmpl w:val="85185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F3B21"/>
    <w:multiLevelType w:val="hybridMultilevel"/>
    <w:tmpl w:val="84789A0E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8384C800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BF4299"/>
    <w:multiLevelType w:val="hybridMultilevel"/>
    <w:tmpl w:val="5C12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454280"/>
    <w:multiLevelType w:val="hybridMultilevel"/>
    <w:tmpl w:val="D1A401CA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C547D"/>
    <w:multiLevelType w:val="hybridMultilevel"/>
    <w:tmpl w:val="F450533C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17D71"/>
    <w:multiLevelType w:val="hybridMultilevel"/>
    <w:tmpl w:val="35A2D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C8395A"/>
    <w:multiLevelType w:val="hybridMultilevel"/>
    <w:tmpl w:val="06CAD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A11C2"/>
    <w:multiLevelType w:val="hybridMultilevel"/>
    <w:tmpl w:val="4CD4F39A"/>
    <w:lvl w:ilvl="0" w:tplc="04150011">
      <w:start w:val="1"/>
      <w:numFmt w:val="decimal"/>
      <w:lvlText w:val="%1)"/>
      <w:lvlJc w:val="left"/>
      <w:pPr>
        <w:ind w:left="440" w:hanging="360"/>
      </w:pPr>
      <w:rPr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527FF"/>
    <w:multiLevelType w:val="hybridMultilevel"/>
    <w:tmpl w:val="3988A57C"/>
    <w:lvl w:ilvl="0" w:tplc="04150017">
      <w:start w:val="1"/>
      <w:numFmt w:val="lowerLetter"/>
      <w:lvlText w:val="%1)"/>
      <w:lvlJc w:val="left"/>
      <w:pPr>
        <w:ind w:left="440" w:hanging="360"/>
      </w:pPr>
      <w:rPr>
        <w:b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45B6E"/>
    <w:multiLevelType w:val="hybridMultilevel"/>
    <w:tmpl w:val="1A4E7F08"/>
    <w:lvl w:ilvl="0" w:tplc="B0CAD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0C5F64"/>
    <w:multiLevelType w:val="hybridMultilevel"/>
    <w:tmpl w:val="8DFC90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417228"/>
    <w:multiLevelType w:val="hybridMultilevel"/>
    <w:tmpl w:val="0330902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B8B6540"/>
    <w:multiLevelType w:val="hybridMultilevel"/>
    <w:tmpl w:val="09E851E0"/>
    <w:lvl w:ilvl="0" w:tplc="E4F2B2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37"/>
  </w:num>
  <w:num w:numId="5">
    <w:abstractNumId w:val="39"/>
  </w:num>
  <w:num w:numId="6">
    <w:abstractNumId w:val="16"/>
  </w:num>
  <w:num w:numId="7">
    <w:abstractNumId w:val="38"/>
  </w:num>
  <w:num w:numId="8">
    <w:abstractNumId w:val="19"/>
  </w:num>
  <w:num w:numId="9">
    <w:abstractNumId w:val="15"/>
  </w:num>
  <w:num w:numId="10">
    <w:abstractNumId w:val="44"/>
  </w:num>
  <w:num w:numId="11">
    <w:abstractNumId w:val="11"/>
  </w:num>
  <w:num w:numId="12">
    <w:abstractNumId w:val="18"/>
  </w:num>
  <w:num w:numId="13">
    <w:abstractNumId w:val="23"/>
  </w:num>
  <w:num w:numId="14">
    <w:abstractNumId w:val="32"/>
  </w:num>
  <w:num w:numId="15">
    <w:abstractNumId w:val="3"/>
  </w:num>
  <w:num w:numId="16">
    <w:abstractNumId w:val="24"/>
  </w:num>
  <w:num w:numId="17">
    <w:abstractNumId w:val="17"/>
  </w:num>
  <w:num w:numId="18">
    <w:abstractNumId w:val="6"/>
  </w:num>
  <w:num w:numId="19">
    <w:abstractNumId w:val="26"/>
  </w:num>
  <w:num w:numId="20">
    <w:abstractNumId w:val="8"/>
  </w:num>
  <w:num w:numId="21">
    <w:abstractNumId w:val="34"/>
  </w:num>
  <w:num w:numId="22">
    <w:abstractNumId w:val="25"/>
  </w:num>
  <w:num w:numId="23">
    <w:abstractNumId w:val="35"/>
  </w:num>
  <w:num w:numId="24">
    <w:abstractNumId w:val="29"/>
  </w:num>
  <w:num w:numId="25">
    <w:abstractNumId w:val="0"/>
  </w:num>
  <w:num w:numId="26">
    <w:abstractNumId w:val="10"/>
  </w:num>
  <w:num w:numId="27">
    <w:abstractNumId w:val="40"/>
  </w:num>
  <w:num w:numId="28">
    <w:abstractNumId w:val="1"/>
  </w:num>
  <w:num w:numId="29">
    <w:abstractNumId w:val="31"/>
  </w:num>
  <w:num w:numId="30">
    <w:abstractNumId w:val="33"/>
  </w:num>
  <w:num w:numId="31">
    <w:abstractNumId w:val="13"/>
  </w:num>
  <w:num w:numId="32">
    <w:abstractNumId w:val="1"/>
  </w:num>
  <w:num w:numId="33">
    <w:abstractNumId w:val="42"/>
  </w:num>
  <w:num w:numId="34">
    <w:abstractNumId w:val="27"/>
  </w:num>
  <w:num w:numId="35">
    <w:abstractNumId w:val="7"/>
  </w:num>
  <w:num w:numId="36">
    <w:abstractNumId w:val="5"/>
  </w:num>
  <w:num w:numId="37">
    <w:abstractNumId w:val="4"/>
  </w:num>
  <w:num w:numId="38">
    <w:abstractNumId w:val="4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0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30"/>
  </w:num>
  <w:num w:numId="45">
    <w:abstractNumId w:val="22"/>
  </w:num>
  <w:num w:numId="46">
    <w:abstractNumId w:val="43"/>
  </w:num>
  <w:num w:numId="47">
    <w:abstractNumId w:val="4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1405B"/>
    <w:rsid w:val="00033D1D"/>
    <w:rsid w:val="0007109E"/>
    <w:rsid w:val="0008304C"/>
    <w:rsid w:val="00085E89"/>
    <w:rsid w:val="00087CAB"/>
    <w:rsid w:val="000B4B61"/>
    <w:rsid w:val="000C070D"/>
    <w:rsid w:val="000D378A"/>
    <w:rsid w:val="00195D0B"/>
    <w:rsid w:val="001C5C56"/>
    <w:rsid w:val="001D5E58"/>
    <w:rsid w:val="001E5109"/>
    <w:rsid w:val="001F76A3"/>
    <w:rsid w:val="00200FA4"/>
    <w:rsid w:val="00225EE4"/>
    <w:rsid w:val="00271AD3"/>
    <w:rsid w:val="00283AD2"/>
    <w:rsid w:val="00283E78"/>
    <w:rsid w:val="002A77D9"/>
    <w:rsid w:val="002C378A"/>
    <w:rsid w:val="002D4C20"/>
    <w:rsid w:val="002F2BC2"/>
    <w:rsid w:val="003221A6"/>
    <w:rsid w:val="00352157"/>
    <w:rsid w:val="0035602F"/>
    <w:rsid w:val="003627B3"/>
    <w:rsid w:val="00374436"/>
    <w:rsid w:val="003C148A"/>
    <w:rsid w:val="003D6D42"/>
    <w:rsid w:val="003F61F7"/>
    <w:rsid w:val="00415A78"/>
    <w:rsid w:val="00417D3D"/>
    <w:rsid w:val="00441EA9"/>
    <w:rsid w:val="00455BE4"/>
    <w:rsid w:val="004575BD"/>
    <w:rsid w:val="00463B84"/>
    <w:rsid w:val="0047266C"/>
    <w:rsid w:val="0049107A"/>
    <w:rsid w:val="004A5C25"/>
    <w:rsid w:val="004B5494"/>
    <w:rsid w:val="004B6766"/>
    <w:rsid w:val="004C2C39"/>
    <w:rsid w:val="004E2766"/>
    <w:rsid w:val="004F62D8"/>
    <w:rsid w:val="00502AF4"/>
    <w:rsid w:val="00534FC5"/>
    <w:rsid w:val="00572EA7"/>
    <w:rsid w:val="005800A4"/>
    <w:rsid w:val="00584A70"/>
    <w:rsid w:val="005C07EB"/>
    <w:rsid w:val="005C6488"/>
    <w:rsid w:val="005E4707"/>
    <w:rsid w:val="00601198"/>
    <w:rsid w:val="006123CB"/>
    <w:rsid w:val="00670151"/>
    <w:rsid w:val="006712B4"/>
    <w:rsid w:val="0067695C"/>
    <w:rsid w:val="00677673"/>
    <w:rsid w:val="00682245"/>
    <w:rsid w:val="00687199"/>
    <w:rsid w:val="00687DD0"/>
    <w:rsid w:val="00694CE4"/>
    <w:rsid w:val="0069729D"/>
    <w:rsid w:val="006B1A06"/>
    <w:rsid w:val="006C5AAD"/>
    <w:rsid w:val="006D3339"/>
    <w:rsid w:val="006D7F5D"/>
    <w:rsid w:val="006E6B11"/>
    <w:rsid w:val="006F47BE"/>
    <w:rsid w:val="007007FA"/>
    <w:rsid w:val="00720290"/>
    <w:rsid w:val="00731530"/>
    <w:rsid w:val="00734D54"/>
    <w:rsid w:val="0075750E"/>
    <w:rsid w:val="007A3B09"/>
    <w:rsid w:val="007B1BAB"/>
    <w:rsid w:val="007B6F11"/>
    <w:rsid w:val="007C3A8C"/>
    <w:rsid w:val="007E2C48"/>
    <w:rsid w:val="007E3D9E"/>
    <w:rsid w:val="007F28CC"/>
    <w:rsid w:val="007F7513"/>
    <w:rsid w:val="00810460"/>
    <w:rsid w:val="00844891"/>
    <w:rsid w:val="008528E4"/>
    <w:rsid w:val="00862406"/>
    <w:rsid w:val="0088627E"/>
    <w:rsid w:val="008C3394"/>
    <w:rsid w:val="008F18D4"/>
    <w:rsid w:val="009135B9"/>
    <w:rsid w:val="00913F7A"/>
    <w:rsid w:val="0093652D"/>
    <w:rsid w:val="00941A3F"/>
    <w:rsid w:val="0095664A"/>
    <w:rsid w:val="00956B79"/>
    <w:rsid w:val="009646DA"/>
    <w:rsid w:val="00980221"/>
    <w:rsid w:val="00983AB4"/>
    <w:rsid w:val="009B1E68"/>
    <w:rsid w:val="009B3CA4"/>
    <w:rsid w:val="009D2102"/>
    <w:rsid w:val="009E0CFB"/>
    <w:rsid w:val="009F081C"/>
    <w:rsid w:val="00A041E3"/>
    <w:rsid w:val="00A24D29"/>
    <w:rsid w:val="00A322B3"/>
    <w:rsid w:val="00A35520"/>
    <w:rsid w:val="00A531CC"/>
    <w:rsid w:val="00A76E09"/>
    <w:rsid w:val="00A84D79"/>
    <w:rsid w:val="00A90B8C"/>
    <w:rsid w:val="00AA67CD"/>
    <w:rsid w:val="00AB1CA4"/>
    <w:rsid w:val="00AB7C04"/>
    <w:rsid w:val="00AC6C80"/>
    <w:rsid w:val="00AC7DA6"/>
    <w:rsid w:val="00AF6FF9"/>
    <w:rsid w:val="00B03962"/>
    <w:rsid w:val="00B133F0"/>
    <w:rsid w:val="00B27341"/>
    <w:rsid w:val="00B45F7E"/>
    <w:rsid w:val="00B71576"/>
    <w:rsid w:val="00B732B5"/>
    <w:rsid w:val="00B76CC2"/>
    <w:rsid w:val="00B81B62"/>
    <w:rsid w:val="00BA4166"/>
    <w:rsid w:val="00BC55BF"/>
    <w:rsid w:val="00BC7ED9"/>
    <w:rsid w:val="00BD1CAA"/>
    <w:rsid w:val="00BF55C1"/>
    <w:rsid w:val="00C00A33"/>
    <w:rsid w:val="00C10CF5"/>
    <w:rsid w:val="00C32AE5"/>
    <w:rsid w:val="00C63513"/>
    <w:rsid w:val="00C639F7"/>
    <w:rsid w:val="00C6540D"/>
    <w:rsid w:val="00C66B40"/>
    <w:rsid w:val="00C84609"/>
    <w:rsid w:val="00C96523"/>
    <w:rsid w:val="00CB001C"/>
    <w:rsid w:val="00CB625D"/>
    <w:rsid w:val="00CB7DC9"/>
    <w:rsid w:val="00CD1CF8"/>
    <w:rsid w:val="00CF0E5C"/>
    <w:rsid w:val="00D036E5"/>
    <w:rsid w:val="00D12C0B"/>
    <w:rsid w:val="00D150AE"/>
    <w:rsid w:val="00D22A5C"/>
    <w:rsid w:val="00D30CF1"/>
    <w:rsid w:val="00D35175"/>
    <w:rsid w:val="00D45EE8"/>
    <w:rsid w:val="00D6448C"/>
    <w:rsid w:val="00D84572"/>
    <w:rsid w:val="00D91153"/>
    <w:rsid w:val="00DA11AF"/>
    <w:rsid w:val="00DC376D"/>
    <w:rsid w:val="00DD3B36"/>
    <w:rsid w:val="00DD6365"/>
    <w:rsid w:val="00DF5552"/>
    <w:rsid w:val="00E400BC"/>
    <w:rsid w:val="00E40FC0"/>
    <w:rsid w:val="00E50BD4"/>
    <w:rsid w:val="00E50EE1"/>
    <w:rsid w:val="00E57947"/>
    <w:rsid w:val="00E67DC7"/>
    <w:rsid w:val="00E7483E"/>
    <w:rsid w:val="00E76B98"/>
    <w:rsid w:val="00E8061D"/>
    <w:rsid w:val="00E84918"/>
    <w:rsid w:val="00EB04D5"/>
    <w:rsid w:val="00EB4D82"/>
    <w:rsid w:val="00EC32E2"/>
    <w:rsid w:val="00EE39CA"/>
    <w:rsid w:val="00EF023F"/>
    <w:rsid w:val="00F053FD"/>
    <w:rsid w:val="00F36BCE"/>
    <w:rsid w:val="00F409BB"/>
    <w:rsid w:val="00F92C5B"/>
    <w:rsid w:val="00FA63EE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C654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6540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C6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2022-02-25T06:36:00Z</dcterms:created>
  <dcterms:modified xsi:type="dcterms:W3CDTF">2022-02-25T11:38:00Z</dcterms:modified>
</cp:coreProperties>
</file>