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5A" w:rsidRPr="00DE500E" w:rsidRDefault="00785B5A" w:rsidP="00DE500E">
      <w:pPr>
        <w:spacing w:after="0" w:line="312" w:lineRule="auto"/>
        <w:jc w:val="both"/>
        <w:rPr>
          <w:rFonts w:ascii="Calibri" w:hAnsi="Calibri" w:cs="Calibri"/>
          <w:i/>
          <w:sz w:val="24"/>
          <w:szCs w:val="24"/>
        </w:rPr>
      </w:pPr>
      <w:bookmarkStart w:id="0" w:name="_GoBack"/>
      <w:bookmarkEnd w:id="0"/>
      <w:r w:rsidRPr="00DE500E">
        <w:rPr>
          <w:rFonts w:ascii="Calibri" w:hAnsi="Calibri" w:cs="Calibri"/>
          <w:i/>
          <w:sz w:val="24"/>
          <w:szCs w:val="24"/>
        </w:rPr>
        <w:t>Zalecenia w sprawie praktyk odbywanych przez aplikantów V rocznika aplikacji sędziowskiej uzupełniającej po zjazdach 24 -26</w:t>
      </w:r>
    </w:p>
    <w:p w:rsidR="00785B5A" w:rsidRPr="00DE500E" w:rsidRDefault="00785B5A" w:rsidP="00DE500E">
      <w:pPr>
        <w:spacing w:after="0" w:line="312" w:lineRule="auto"/>
        <w:rPr>
          <w:rFonts w:ascii="Calibri" w:hAnsi="Calibri" w:cs="Calibri"/>
          <w:sz w:val="24"/>
          <w:szCs w:val="24"/>
        </w:rPr>
      </w:pPr>
    </w:p>
    <w:p w:rsidR="00785B5A" w:rsidRPr="00DE500E" w:rsidRDefault="00785B5A" w:rsidP="00DE500E">
      <w:pPr>
        <w:spacing w:after="0" w:line="312" w:lineRule="auto"/>
        <w:ind w:firstLine="4961"/>
        <w:rPr>
          <w:rFonts w:ascii="Calibri" w:hAnsi="Calibri" w:cs="Calibri"/>
          <w:b/>
          <w:sz w:val="24"/>
          <w:szCs w:val="24"/>
        </w:rPr>
      </w:pPr>
      <w:r w:rsidRPr="00DE500E">
        <w:rPr>
          <w:rFonts w:ascii="Calibri" w:hAnsi="Calibri" w:cs="Calibri"/>
          <w:b/>
          <w:sz w:val="24"/>
          <w:szCs w:val="24"/>
        </w:rPr>
        <w:t>Do</w:t>
      </w:r>
    </w:p>
    <w:p w:rsidR="00785B5A" w:rsidRPr="00DE500E" w:rsidRDefault="00785B5A" w:rsidP="00DE500E">
      <w:pPr>
        <w:spacing w:after="0" w:line="312" w:lineRule="auto"/>
        <w:ind w:firstLine="4961"/>
        <w:rPr>
          <w:rFonts w:ascii="Calibri" w:hAnsi="Calibri" w:cs="Calibri"/>
          <w:b/>
          <w:sz w:val="24"/>
          <w:szCs w:val="24"/>
        </w:rPr>
      </w:pPr>
      <w:r w:rsidRPr="00DE500E">
        <w:rPr>
          <w:rFonts w:ascii="Calibri" w:hAnsi="Calibri" w:cs="Calibri"/>
          <w:b/>
          <w:sz w:val="24"/>
          <w:szCs w:val="24"/>
        </w:rPr>
        <w:t>Patronów praktyk</w:t>
      </w:r>
    </w:p>
    <w:p w:rsidR="00785B5A" w:rsidRPr="00DE500E" w:rsidRDefault="00785B5A" w:rsidP="00DE500E">
      <w:pPr>
        <w:spacing w:after="0" w:line="312" w:lineRule="auto"/>
        <w:ind w:firstLine="4961"/>
        <w:rPr>
          <w:rFonts w:ascii="Calibri" w:hAnsi="Calibri" w:cs="Calibri"/>
          <w:b/>
          <w:sz w:val="24"/>
          <w:szCs w:val="24"/>
        </w:rPr>
      </w:pPr>
      <w:r w:rsidRPr="00DE500E">
        <w:rPr>
          <w:rFonts w:ascii="Calibri" w:hAnsi="Calibri" w:cs="Calibri"/>
          <w:b/>
          <w:sz w:val="24"/>
          <w:szCs w:val="24"/>
        </w:rPr>
        <w:t>oraz Patronów koordynatorów</w:t>
      </w:r>
    </w:p>
    <w:p w:rsidR="00785B5A" w:rsidRPr="00DE500E" w:rsidRDefault="00785B5A" w:rsidP="00DE500E">
      <w:pPr>
        <w:spacing w:after="0" w:line="312" w:lineRule="auto"/>
        <w:ind w:firstLine="4961"/>
        <w:rPr>
          <w:rFonts w:ascii="Calibri" w:hAnsi="Calibri" w:cs="Calibri"/>
          <w:b/>
          <w:sz w:val="24"/>
          <w:szCs w:val="24"/>
        </w:rPr>
      </w:pPr>
      <w:r w:rsidRPr="00DE500E">
        <w:rPr>
          <w:rFonts w:ascii="Calibri" w:hAnsi="Calibri" w:cs="Calibri"/>
          <w:b/>
          <w:sz w:val="24"/>
          <w:szCs w:val="24"/>
        </w:rPr>
        <w:t>aplikantów aplikacji sędziowskiej</w:t>
      </w:r>
    </w:p>
    <w:p w:rsidR="00785B5A" w:rsidRPr="00DE500E" w:rsidRDefault="00785B5A" w:rsidP="00DE500E">
      <w:pPr>
        <w:spacing w:after="0" w:line="312" w:lineRule="auto"/>
        <w:rPr>
          <w:rFonts w:ascii="Calibri" w:hAnsi="Calibri" w:cs="Calibri"/>
          <w:b/>
          <w:sz w:val="24"/>
          <w:szCs w:val="24"/>
        </w:rPr>
      </w:pPr>
    </w:p>
    <w:p w:rsidR="00785B5A" w:rsidRPr="00DE500E" w:rsidRDefault="00785B5A" w:rsidP="00DE500E">
      <w:pPr>
        <w:pStyle w:val="Akapitzlist"/>
        <w:numPr>
          <w:ilvl w:val="0"/>
          <w:numId w:val="1"/>
        </w:numPr>
        <w:spacing w:after="120" w:line="312" w:lineRule="auto"/>
        <w:ind w:left="714" w:hanging="357"/>
        <w:contextualSpacing w:val="0"/>
        <w:rPr>
          <w:rFonts w:ascii="Calibri" w:hAnsi="Calibri" w:cs="Calibri"/>
          <w:b/>
          <w:sz w:val="24"/>
          <w:szCs w:val="24"/>
        </w:rPr>
      </w:pPr>
      <w:r w:rsidRPr="00DE500E">
        <w:rPr>
          <w:rFonts w:ascii="Calibri" w:hAnsi="Calibri" w:cs="Calibri"/>
          <w:b/>
          <w:sz w:val="24"/>
          <w:szCs w:val="24"/>
        </w:rPr>
        <w:t>Ogólne założenia co do przebiegu praktyk</w:t>
      </w:r>
    </w:p>
    <w:p w:rsidR="00785B5A" w:rsidRPr="00DE500E" w:rsidRDefault="00785B5A" w:rsidP="00DE500E">
      <w:pPr>
        <w:spacing w:after="120" w:line="312" w:lineRule="auto"/>
        <w:ind w:firstLine="709"/>
        <w:jc w:val="both"/>
        <w:rPr>
          <w:rFonts w:ascii="Calibri" w:hAnsi="Calibri" w:cs="Calibri"/>
          <w:sz w:val="24"/>
          <w:szCs w:val="24"/>
        </w:rPr>
      </w:pPr>
      <w:r w:rsidRPr="00DE500E">
        <w:rPr>
          <w:rFonts w:ascii="Calibri" w:hAnsi="Calibri" w:cs="Calibri"/>
          <w:sz w:val="24"/>
          <w:szCs w:val="24"/>
        </w:rPr>
        <w:t>Założeniem praktyki co do zasady jest zaznajomienie aplikantów z czynnościami i metodyką pracy sędziego oraz doskonalenie umiejętności wykorzystania wiedzy teoretycznej i</w:t>
      </w:r>
      <w:r w:rsidR="00F43EE4" w:rsidRPr="00DE500E">
        <w:rPr>
          <w:rFonts w:ascii="Calibri" w:hAnsi="Calibri" w:cs="Calibri"/>
          <w:sz w:val="24"/>
          <w:szCs w:val="24"/>
        </w:rPr>
        <w:t> </w:t>
      </w:r>
      <w:r w:rsidRPr="00DE500E">
        <w:rPr>
          <w:rFonts w:ascii="Calibri" w:hAnsi="Calibri" w:cs="Calibri"/>
          <w:sz w:val="24"/>
          <w:szCs w:val="24"/>
        </w:rPr>
        <w:t xml:space="preserve">znajomości orzecznictwa. Praktyka winna utrwalać wiedzę zdobytą podczas bezpośrednio poprzedzających ją zajęć seminaryjnych w ramach zjazdu. </w:t>
      </w:r>
    </w:p>
    <w:p w:rsidR="00785B5A" w:rsidRPr="00DE500E" w:rsidRDefault="00785B5A" w:rsidP="00DE500E">
      <w:pPr>
        <w:spacing w:after="120" w:line="312" w:lineRule="auto"/>
        <w:ind w:firstLine="709"/>
        <w:jc w:val="both"/>
        <w:rPr>
          <w:rFonts w:ascii="Calibri" w:eastAsia="Times New Roman" w:hAnsi="Calibri" w:cs="Calibri"/>
          <w:sz w:val="24"/>
          <w:szCs w:val="24"/>
        </w:rPr>
      </w:pPr>
      <w:r w:rsidRPr="00DE500E">
        <w:rPr>
          <w:rFonts w:ascii="Calibri" w:eastAsia="Times New Roman" w:hAnsi="Calibri" w:cs="Calibri"/>
          <w:sz w:val="24"/>
          <w:szCs w:val="24"/>
        </w:rPr>
        <w:t xml:space="preserve">Patron praktyki </w:t>
      </w:r>
      <w:r w:rsidRPr="00DE500E">
        <w:rPr>
          <w:rFonts w:ascii="Calibri" w:eastAsia="Times New Roman" w:hAnsi="Calibri" w:cs="Calibri"/>
          <w:b/>
          <w:sz w:val="24"/>
          <w:szCs w:val="24"/>
        </w:rPr>
        <w:t>ma obowiązek</w:t>
      </w:r>
      <w:r w:rsidRPr="00DE500E">
        <w:rPr>
          <w:rFonts w:ascii="Calibri" w:eastAsia="Times New Roman" w:hAnsi="Calibri" w:cs="Calibri"/>
          <w:sz w:val="24"/>
          <w:szCs w:val="24"/>
        </w:rPr>
        <w:t xml:space="preserve"> omówić z aplikantem cel, szczegółowy zakres tematyczny praktyki i jej planowany przebieg oraz zapoznać aplikanta ze swoim stanowiskiem pracy i</w:t>
      </w:r>
      <w:r w:rsidR="00F43EE4" w:rsidRPr="00DE500E">
        <w:rPr>
          <w:rFonts w:ascii="Calibri" w:eastAsia="Times New Roman" w:hAnsi="Calibri" w:cs="Calibri"/>
          <w:sz w:val="24"/>
          <w:szCs w:val="24"/>
        </w:rPr>
        <w:t> </w:t>
      </w:r>
      <w:r w:rsidRPr="00DE500E">
        <w:rPr>
          <w:rFonts w:ascii="Calibri" w:eastAsia="Times New Roman" w:hAnsi="Calibri" w:cs="Calibri"/>
          <w:sz w:val="24"/>
          <w:szCs w:val="24"/>
        </w:rPr>
        <w:t xml:space="preserve">strukturą organizacyjną jednostki, w której jest zatrudniony. </w:t>
      </w:r>
    </w:p>
    <w:p w:rsidR="00785B5A" w:rsidRPr="00DE500E" w:rsidRDefault="00785B5A" w:rsidP="00DE500E">
      <w:pPr>
        <w:spacing w:after="120" w:line="312" w:lineRule="auto"/>
        <w:ind w:firstLine="709"/>
        <w:jc w:val="both"/>
        <w:rPr>
          <w:rFonts w:ascii="Calibri" w:eastAsia="Times New Roman" w:hAnsi="Calibri" w:cs="Calibri"/>
          <w:sz w:val="24"/>
          <w:szCs w:val="24"/>
        </w:rPr>
      </w:pPr>
      <w:r w:rsidRPr="00DE500E">
        <w:rPr>
          <w:rFonts w:ascii="Calibri" w:eastAsia="Times New Roman" w:hAnsi="Calibri" w:cs="Calibri"/>
          <w:sz w:val="24"/>
          <w:szCs w:val="24"/>
        </w:rPr>
        <w:t xml:space="preserve">Patron praktyki </w:t>
      </w:r>
      <w:r w:rsidRPr="00DE500E">
        <w:rPr>
          <w:rFonts w:ascii="Calibri" w:eastAsia="Times New Roman" w:hAnsi="Calibri" w:cs="Calibri"/>
          <w:b/>
          <w:sz w:val="24"/>
          <w:szCs w:val="24"/>
        </w:rPr>
        <w:t>powinien w pierwszej kolejności</w:t>
      </w:r>
      <w:r w:rsidRPr="00DE500E">
        <w:rPr>
          <w:rFonts w:ascii="Calibri" w:eastAsia="Times New Roman" w:hAnsi="Calibri" w:cs="Calibri"/>
          <w:sz w:val="24"/>
          <w:szCs w:val="24"/>
        </w:rPr>
        <w:t xml:space="preserve"> powierzać aplikantowi wykonanie czynności określonych </w:t>
      </w:r>
      <w:r w:rsidRPr="00DE500E">
        <w:rPr>
          <w:rFonts w:ascii="Calibri" w:hAnsi="Calibri" w:cs="Calibri"/>
          <w:noProof/>
          <w:sz w:val="24"/>
          <w:szCs w:val="24"/>
        </w:rPr>
        <w:t xml:space="preserve">w zaleceniach dotyczących przebiegu praktyki po konkretnym zjeździe (czynności obowiązkowe), </w:t>
      </w:r>
      <w:r w:rsidRPr="00DE500E">
        <w:rPr>
          <w:rFonts w:ascii="Calibri" w:eastAsia="Times New Roman" w:hAnsi="Calibri" w:cs="Calibri"/>
          <w:sz w:val="24"/>
          <w:szCs w:val="24"/>
        </w:rPr>
        <w:t xml:space="preserve">udzielać aplikantowi wskazówek i pomocy przy wykonywaniu tych czynności oraz </w:t>
      </w:r>
      <w:r w:rsidRPr="00DE500E">
        <w:rPr>
          <w:rFonts w:ascii="Calibri" w:eastAsia="Times New Roman" w:hAnsi="Calibri" w:cs="Calibri"/>
          <w:sz w:val="24"/>
          <w:szCs w:val="24"/>
          <w:u w:val="single"/>
        </w:rPr>
        <w:t>kontrolować prawidłowość ich wykonania.</w:t>
      </w:r>
      <w:r w:rsidRPr="00DE500E">
        <w:rPr>
          <w:rFonts w:ascii="Calibri" w:eastAsia="Times New Roman" w:hAnsi="Calibri" w:cs="Calibri"/>
          <w:sz w:val="24"/>
          <w:szCs w:val="24"/>
        </w:rPr>
        <w:t xml:space="preserve"> Niemniej jednak możliwe jest także powierzanie aplikantowi innych niewymienionych w zaleceniach czynności do wykonania </w:t>
      </w:r>
      <w:r w:rsidR="00F43EE4" w:rsidRPr="00DE500E">
        <w:rPr>
          <w:rFonts w:ascii="Calibri" w:eastAsia="Times New Roman" w:hAnsi="Calibri" w:cs="Calibri"/>
          <w:sz w:val="24"/>
          <w:szCs w:val="24"/>
        </w:rPr>
        <w:t>– </w:t>
      </w:r>
      <w:r w:rsidRPr="00DE500E">
        <w:rPr>
          <w:rFonts w:ascii="Calibri" w:eastAsia="Times New Roman" w:hAnsi="Calibri" w:cs="Calibri"/>
          <w:sz w:val="24"/>
          <w:szCs w:val="24"/>
        </w:rPr>
        <w:t>w</w:t>
      </w:r>
      <w:r w:rsidR="00F43EE4" w:rsidRPr="00DE500E">
        <w:rPr>
          <w:rFonts w:ascii="Calibri" w:eastAsia="Times New Roman" w:hAnsi="Calibri" w:cs="Calibri"/>
          <w:sz w:val="24"/>
          <w:szCs w:val="24"/>
        </w:rPr>
        <w:t> </w:t>
      </w:r>
      <w:r w:rsidRPr="00DE500E">
        <w:rPr>
          <w:rFonts w:ascii="Calibri" w:eastAsia="Times New Roman" w:hAnsi="Calibri" w:cs="Calibri"/>
          <w:sz w:val="24"/>
          <w:szCs w:val="24"/>
        </w:rPr>
        <w:t xml:space="preserve">ramach tematyki zjazdów. </w:t>
      </w:r>
    </w:p>
    <w:p w:rsidR="00785B5A" w:rsidRPr="00DE500E" w:rsidRDefault="00785B5A" w:rsidP="00DE500E">
      <w:pPr>
        <w:spacing w:after="120" w:line="312" w:lineRule="auto"/>
        <w:ind w:firstLine="709"/>
        <w:jc w:val="both"/>
        <w:rPr>
          <w:rFonts w:ascii="Calibri" w:eastAsia="Times New Roman" w:hAnsi="Calibri" w:cs="Calibri"/>
          <w:sz w:val="24"/>
          <w:szCs w:val="24"/>
          <w:u w:val="single"/>
        </w:rPr>
      </w:pPr>
      <w:r w:rsidRPr="00DE500E">
        <w:rPr>
          <w:rFonts w:ascii="Calibri" w:hAnsi="Calibri" w:cs="Calibri"/>
          <w:sz w:val="24"/>
          <w:szCs w:val="24"/>
        </w:rPr>
        <w:t>W sytuacji, gdy po zakończeniu praktyki aplikanci będą pisać sprawdzian, patron praktyki winien zwrócić szczególną uwagę na nabycie przez aplikantów umiejętności samodzielnego opracowywania projektów orzeczeń/czynności procesowych będących przedmiotem sprawdzianu.</w:t>
      </w:r>
    </w:p>
    <w:p w:rsidR="00785B5A" w:rsidRPr="00DE500E" w:rsidRDefault="00785B5A" w:rsidP="00DE500E">
      <w:pPr>
        <w:spacing w:after="120" w:line="312" w:lineRule="auto"/>
        <w:ind w:firstLine="709"/>
        <w:jc w:val="both"/>
        <w:rPr>
          <w:rFonts w:ascii="Calibri" w:hAnsi="Calibri" w:cs="Calibri"/>
          <w:sz w:val="24"/>
          <w:szCs w:val="24"/>
        </w:rPr>
      </w:pPr>
      <w:r w:rsidRPr="00DE500E">
        <w:rPr>
          <w:rFonts w:ascii="Calibri" w:hAnsi="Calibri" w:cs="Calibri"/>
          <w:sz w:val="24"/>
          <w:szCs w:val="24"/>
        </w:rPr>
        <w:t>W przypadku, gdy zrealizowanie czynności zawartych w zaleceniach dotyczących przebiegu danej praktyki okazało się niemożliwe w czasie jej trwania, należy je uzupełnić podczas kolejnych praktyk – tak, aby aplikant po zakończeniu cyklu praktyk w danym wydziale posiadł wszystkie niezbędne umiejętności z zakresu objętego programem wyszczególnionych zjazdów.</w:t>
      </w:r>
    </w:p>
    <w:p w:rsidR="00785B5A" w:rsidRDefault="00785B5A" w:rsidP="00DE500E">
      <w:pPr>
        <w:spacing w:after="120" w:line="312" w:lineRule="auto"/>
        <w:ind w:firstLine="709"/>
        <w:jc w:val="both"/>
        <w:rPr>
          <w:rFonts w:ascii="Calibri" w:eastAsia="Times New Roman" w:hAnsi="Calibri" w:cs="Calibri"/>
          <w:sz w:val="24"/>
          <w:szCs w:val="24"/>
        </w:rPr>
      </w:pPr>
      <w:r w:rsidRPr="00DE500E">
        <w:rPr>
          <w:rFonts w:ascii="Calibri" w:eastAsia="Times New Roman" w:hAnsi="Calibri" w:cs="Calibri"/>
          <w:sz w:val="24"/>
          <w:szCs w:val="24"/>
        </w:rPr>
        <w:t xml:space="preserve">Uprzejmie proszę o zapoznanie się </w:t>
      </w:r>
      <w:r w:rsidRPr="00DE500E">
        <w:rPr>
          <w:rFonts w:ascii="Calibri" w:eastAsia="Times New Roman" w:hAnsi="Calibri" w:cs="Calibri"/>
          <w:b/>
          <w:sz w:val="24"/>
          <w:szCs w:val="24"/>
        </w:rPr>
        <w:t>z zarządzeniem Dyrektora Krajowej Szkoły Sądownictwa i Prokuratury Nr 539/2021 z dnia 27 października 2021 r. w sprawie szczegółowych zasad odbywania praktyk przez aplikantów aplikacji sędziowskiej i aplikacji prokuratorskie</w:t>
      </w:r>
      <w:r w:rsidRPr="00DE500E">
        <w:rPr>
          <w:rFonts w:ascii="Calibri" w:eastAsia="Times New Roman" w:hAnsi="Calibri" w:cs="Calibri"/>
          <w:sz w:val="24"/>
          <w:szCs w:val="24"/>
        </w:rPr>
        <w:t>j, które znajduje się na stronie internetowej Krajowej Szkoły Sądownictwa i</w:t>
      </w:r>
      <w:r w:rsidR="00F43EE4" w:rsidRPr="00DE500E">
        <w:rPr>
          <w:rFonts w:ascii="Calibri" w:eastAsia="Times New Roman" w:hAnsi="Calibri" w:cs="Calibri"/>
          <w:sz w:val="24"/>
          <w:szCs w:val="24"/>
        </w:rPr>
        <w:t> </w:t>
      </w:r>
      <w:r w:rsidRPr="00DE500E">
        <w:rPr>
          <w:rFonts w:ascii="Calibri" w:eastAsia="Times New Roman" w:hAnsi="Calibri" w:cs="Calibri"/>
          <w:sz w:val="24"/>
          <w:szCs w:val="24"/>
        </w:rPr>
        <w:t>Prokuratury pod adresem</w:t>
      </w:r>
      <w:r w:rsidRPr="00DE500E">
        <w:rPr>
          <w:rFonts w:ascii="Calibri" w:hAnsi="Calibri" w:cs="Calibri"/>
          <w:sz w:val="24"/>
          <w:szCs w:val="24"/>
        </w:rPr>
        <w:t xml:space="preserve"> </w:t>
      </w:r>
      <w:hyperlink r:id="rId7" w:history="1">
        <w:r w:rsidRPr="00DE500E">
          <w:rPr>
            <w:rStyle w:val="Hipercze"/>
            <w:rFonts w:ascii="Calibri" w:eastAsia="Times New Roman" w:hAnsi="Calibri" w:cs="Calibri"/>
            <w:color w:val="auto"/>
            <w:sz w:val="24"/>
            <w:szCs w:val="24"/>
          </w:rPr>
          <w:t>https://www.kssip.gov.pl/node/7958.</w:t>
        </w:r>
      </w:hyperlink>
      <w:r w:rsidRPr="00DE500E">
        <w:rPr>
          <w:rFonts w:ascii="Calibri" w:eastAsia="Times New Roman" w:hAnsi="Calibri" w:cs="Calibri"/>
          <w:sz w:val="24"/>
          <w:szCs w:val="24"/>
        </w:rPr>
        <w:tab/>
      </w:r>
    </w:p>
    <w:p w:rsidR="009840FD" w:rsidRPr="00DE500E" w:rsidRDefault="009840FD" w:rsidP="00DE500E">
      <w:pPr>
        <w:spacing w:after="120" w:line="312" w:lineRule="auto"/>
        <w:ind w:firstLine="709"/>
        <w:jc w:val="both"/>
        <w:rPr>
          <w:rFonts w:ascii="Calibri" w:eastAsia="Times New Roman" w:hAnsi="Calibri" w:cs="Calibri"/>
          <w:sz w:val="24"/>
          <w:szCs w:val="24"/>
        </w:rPr>
      </w:pPr>
    </w:p>
    <w:p w:rsidR="00785B5A" w:rsidRPr="00DE500E" w:rsidRDefault="00785B5A" w:rsidP="00DE500E">
      <w:pPr>
        <w:pStyle w:val="Akapitzlist"/>
        <w:numPr>
          <w:ilvl w:val="0"/>
          <w:numId w:val="1"/>
        </w:numPr>
        <w:spacing w:after="120" w:line="312" w:lineRule="auto"/>
        <w:ind w:left="714"/>
        <w:contextualSpacing w:val="0"/>
        <w:jc w:val="both"/>
        <w:rPr>
          <w:rFonts w:ascii="Calibri" w:eastAsia="Times New Roman" w:hAnsi="Calibri" w:cs="Calibri"/>
          <w:b/>
          <w:sz w:val="24"/>
          <w:szCs w:val="24"/>
        </w:rPr>
      </w:pPr>
      <w:r w:rsidRPr="00DE500E">
        <w:rPr>
          <w:rFonts w:ascii="Calibri" w:eastAsia="Times New Roman" w:hAnsi="Calibri" w:cs="Calibri"/>
          <w:b/>
          <w:sz w:val="24"/>
          <w:szCs w:val="24"/>
        </w:rPr>
        <w:t>Schemat organizacyjny praktyk w sądzie rejonowym – wydziale cywilnym nieprocesowym; w sądach, w których nie ma wyodrębnionego wydziału nieprocesowego, praktyka odbywa się w sądzie rejonowym – w wydziale cywilnym ze</w:t>
      </w:r>
      <w:r w:rsidR="005874DC">
        <w:rPr>
          <w:rFonts w:ascii="Calibri" w:eastAsia="Times New Roman" w:hAnsi="Calibri" w:cs="Calibri"/>
          <w:b/>
          <w:sz w:val="24"/>
          <w:szCs w:val="24"/>
        </w:rPr>
        <w:t> </w:t>
      </w:r>
      <w:r w:rsidRPr="00DE500E">
        <w:rPr>
          <w:rFonts w:ascii="Calibri" w:eastAsia="Times New Roman" w:hAnsi="Calibri" w:cs="Calibri"/>
          <w:b/>
          <w:sz w:val="24"/>
          <w:szCs w:val="24"/>
        </w:rPr>
        <w:t xml:space="preserve">zwróceniem uwagi sędziemu </w:t>
      </w:r>
      <w:r w:rsidR="00F43EE4" w:rsidRPr="00DE500E">
        <w:rPr>
          <w:rFonts w:ascii="Calibri" w:eastAsia="Times New Roman" w:hAnsi="Calibri" w:cs="Calibri"/>
          <w:b/>
          <w:sz w:val="24"/>
          <w:szCs w:val="24"/>
        </w:rPr>
        <w:t>patronowi, że</w:t>
      </w:r>
      <w:r w:rsidRPr="00DE500E">
        <w:rPr>
          <w:rFonts w:ascii="Calibri" w:eastAsia="Times New Roman" w:hAnsi="Calibri" w:cs="Calibri"/>
          <w:b/>
          <w:sz w:val="24"/>
          <w:szCs w:val="24"/>
        </w:rPr>
        <w:t xml:space="preserve"> przedmiotem praktyki powinny być przede wszystkim sprawy nieprocesowe</w:t>
      </w:r>
      <w:r w:rsidR="00F43EE4" w:rsidRPr="00DE500E">
        <w:rPr>
          <w:rFonts w:ascii="Calibri" w:eastAsia="Times New Roman" w:hAnsi="Calibri" w:cs="Calibri"/>
          <w:b/>
          <w:sz w:val="24"/>
          <w:szCs w:val="24"/>
        </w:rPr>
        <w:t>.</w:t>
      </w:r>
    </w:p>
    <w:p w:rsidR="00785B5A" w:rsidRPr="00DE500E" w:rsidRDefault="00785B5A" w:rsidP="00DE500E">
      <w:pPr>
        <w:pStyle w:val="Akapitzlist"/>
        <w:spacing w:after="120" w:line="312" w:lineRule="auto"/>
        <w:ind w:left="714"/>
        <w:contextualSpacing w:val="0"/>
        <w:jc w:val="both"/>
        <w:rPr>
          <w:rFonts w:ascii="Calibri" w:eastAsia="Times New Roman" w:hAnsi="Calibri" w:cs="Calibri"/>
          <w:sz w:val="24"/>
          <w:szCs w:val="24"/>
        </w:rPr>
      </w:pPr>
    </w:p>
    <w:tbl>
      <w:tblPr>
        <w:tblStyle w:val="Tabela-Siatka"/>
        <w:tblW w:w="9356" w:type="dxa"/>
        <w:tblInd w:w="-5" w:type="dxa"/>
        <w:tblLayout w:type="fixed"/>
        <w:tblLook w:val="04A0" w:firstRow="1" w:lastRow="0" w:firstColumn="1" w:lastColumn="0" w:noHBand="0" w:noVBand="1"/>
      </w:tblPr>
      <w:tblGrid>
        <w:gridCol w:w="993"/>
        <w:gridCol w:w="1559"/>
        <w:gridCol w:w="1984"/>
        <w:gridCol w:w="4820"/>
      </w:tblGrid>
      <w:tr w:rsidR="00DE500E" w:rsidRPr="00DE500E" w:rsidTr="00724476">
        <w:tc>
          <w:tcPr>
            <w:tcW w:w="993" w:type="dxa"/>
            <w:vAlign w:val="center"/>
          </w:tcPr>
          <w:p w:rsidR="00785B5A" w:rsidRPr="00DE500E" w:rsidRDefault="00785B5A" w:rsidP="005874DC">
            <w:pPr>
              <w:spacing w:before="120" w:after="120" w:line="312" w:lineRule="auto"/>
              <w:jc w:val="center"/>
              <w:rPr>
                <w:rFonts w:ascii="Calibri" w:hAnsi="Calibri" w:cs="Calibri"/>
                <w:b/>
                <w:sz w:val="24"/>
                <w:szCs w:val="24"/>
              </w:rPr>
            </w:pPr>
            <w:r w:rsidRPr="00DE500E">
              <w:rPr>
                <w:rFonts w:ascii="Calibri" w:hAnsi="Calibri" w:cs="Calibri"/>
                <w:b/>
                <w:sz w:val="24"/>
                <w:szCs w:val="24"/>
              </w:rPr>
              <w:t>Numer zjazdu</w:t>
            </w:r>
          </w:p>
        </w:tc>
        <w:tc>
          <w:tcPr>
            <w:tcW w:w="1559" w:type="dxa"/>
            <w:vAlign w:val="center"/>
          </w:tcPr>
          <w:p w:rsidR="00785B5A" w:rsidRPr="00DE500E" w:rsidRDefault="00785B5A" w:rsidP="005874DC">
            <w:pPr>
              <w:spacing w:before="120" w:after="120" w:line="312" w:lineRule="auto"/>
              <w:jc w:val="center"/>
              <w:rPr>
                <w:rFonts w:ascii="Calibri" w:hAnsi="Calibri" w:cs="Calibri"/>
                <w:b/>
                <w:sz w:val="24"/>
                <w:szCs w:val="24"/>
              </w:rPr>
            </w:pPr>
            <w:r w:rsidRPr="00DE500E">
              <w:rPr>
                <w:rFonts w:ascii="Calibri" w:hAnsi="Calibri" w:cs="Calibri"/>
                <w:b/>
                <w:sz w:val="24"/>
                <w:szCs w:val="24"/>
              </w:rPr>
              <w:t>Termin zjazdu</w:t>
            </w:r>
          </w:p>
        </w:tc>
        <w:tc>
          <w:tcPr>
            <w:tcW w:w="1984" w:type="dxa"/>
            <w:vAlign w:val="center"/>
          </w:tcPr>
          <w:p w:rsidR="00785B5A" w:rsidRPr="00DE500E" w:rsidRDefault="00785B5A" w:rsidP="005874DC">
            <w:pPr>
              <w:spacing w:before="120" w:after="120" w:line="312" w:lineRule="auto"/>
              <w:jc w:val="center"/>
              <w:rPr>
                <w:rFonts w:ascii="Calibri" w:hAnsi="Calibri" w:cs="Calibri"/>
                <w:b/>
                <w:sz w:val="24"/>
                <w:szCs w:val="24"/>
              </w:rPr>
            </w:pPr>
            <w:r w:rsidRPr="00DE500E">
              <w:rPr>
                <w:rFonts w:ascii="Calibri" w:hAnsi="Calibri" w:cs="Calibri"/>
                <w:b/>
                <w:sz w:val="24"/>
                <w:szCs w:val="24"/>
              </w:rPr>
              <w:t>Czas trwania i termin praktyki</w:t>
            </w:r>
          </w:p>
        </w:tc>
        <w:tc>
          <w:tcPr>
            <w:tcW w:w="4820" w:type="dxa"/>
            <w:vAlign w:val="center"/>
          </w:tcPr>
          <w:p w:rsidR="00785B5A" w:rsidRPr="00DE500E" w:rsidRDefault="00785B5A" w:rsidP="005874DC">
            <w:pPr>
              <w:spacing w:before="120" w:after="120" w:line="312" w:lineRule="auto"/>
              <w:jc w:val="center"/>
              <w:rPr>
                <w:rFonts w:ascii="Calibri" w:hAnsi="Calibri" w:cs="Calibri"/>
                <w:b/>
                <w:sz w:val="24"/>
                <w:szCs w:val="24"/>
              </w:rPr>
            </w:pPr>
            <w:r w:rsidRPr="00DE500E">
              <w:rPr>
                <w:rFonts w:ascii="Calibri" w:hAnsi="Calibri" w:cs="Calibri"/>
                <w:b/>
                <w:sz w:val="24"/>
                <w:szCs w:val="24"/>
              </w:rPr>
              <w:t>Data i przedmiot sprawdzianu</w:t>
            </w:r>
          </w:p>
        </w:tc>
      </w:tr>
      <w:tr w:rsidR="00DE500E" w:rsidRPr="00DE500E" w:rsidTr="00724476">
        <w:tc>
          <w:tcPr>
            <w:tcW w:w="993" w:type="dxa"/>
            <w:shd w:val="clear" w:color="auto" w:fill="E2EFD9" w:themeFill="accent6" w:themeFillTint="33"/>
            <w:vAlign w:val="center"/>
          </w:tcPr>
          <w:p w:rsidR="00785B5A" w:rsidRPr="00DE500E" w:rsidRDefault="00785B5A" w:rsidP="005874DC">
            <w:pPr>
              <w:spacing w:before="120" w:after="120" w:line="312" w:lineRule="auto"/>
              <w:jc w:val="center"/>
              <w:rPr>
                <w:rFonts w:ascii="Calibri" w:hAnsi="Calibri" w:cs="Calibri"/>
                <w:sz w:val="24"/>
                <w:szCs w:val="24"/>
              </w:rPr>
            </w:pPr>
            <w:r w:rsidRPr="00DE500E">
              <w:rPr>
                <w:rFonts w:ascii="Calibri" w:hAnsi="Calibri" w:cs="Calibri"/>
                <w:sz w:val="24"/>
                <w:szCs w:val="24"/>
              </w:rPr>
              <w:t>24</w:t>
            </w:r>
          </w:p>
        </w:tc>
        <w:tc>
          <w:tcPr>
            <w:tcW w:w="1559" w:type="dxa"/>
            <w:shd w:val="clear" w:color="auto" w:fill="E2EFD9" w:themeFill="accent6" w:themeFillTint="33"/>
            <w:vAlign w:val="center"/>
          </w:tcPr>
          <w:p w:rsidR="00785B5A" w:rsidRPr="00724476" w:rsidRDefault="001463DC" w:rsidP="005874DC">
            <w:pPr>
              <w:spacing w:before="120" w:after="120" w:line="312" w:lineRule="auto"/>
              <w:ind w:left="-170" w:right="-170"/>
              <w:jc w:val="center"/>
              <w:rPr>
                <w:rFonts w:ascii="Calibri" w:hAnsi="Calibri" w:cs="Calibri"/>
                <w:sz w:val="24"/>
                <w:szCs w:val="24"/>
              </w:rPr>
            </w:pPr>
            <w:r w:rsidRPr="00724476">
              <w:rPr>
                <w:rFonts w:cstheme="minorHAnsi"/>
                <w:bCs/>
                <w:sz w:val="24"/>
                <w:szCs w:val="24"/>
              </w:rPr>
              <w:t>19.07.2025 r. –</w:t>
            </w:r>
            <w:r w:rsidR="00724476" w:rsidRPr="00724476">
              <w:rPr>
                <w:rFonts w:cstheme="minorHAnsi"/>
                <w:bCs/>
                <w:sz w:val="24"/>
                <w:szCs w:val="24"/>
              </w:rPr>
              <w:t> </w:t>
            </w:r>
            <w:r w:rsidRPr="00724476">
              <w:rPr>
                <w:rFonts w:cstheme="minorHAnsi"/>
                <w:bCs/>
                <w:sz w:val="24"/>
                <w:szCs w:val="24"/>
              </w:rPr>
              <w:t xml:space="preserve">20.07.2025 </w:t>
            </w:r>
            <w:r w:rsidRPr="00724476">
              <w:rPr>
                <w:rFonts w:cstheme="minorHAnsi"/>
                <w:sz w:val="24"/>
                <w:szCs w:val="24"/>
              </w:rPr>
              <w:t>r.</w:t>
            </w:r>
          </w:p>
        </w:tc>
        <w:tc>
          <w:tcPr>
            <w:tcW w:w="1984" w:type="dxa"/>
            <w:shd w:val="clear" w:color="auto" w:fill="E2EFD9" w:themeFill="accent6" w:themeFillTint="33"/>
            <w:vAlign w:val="center"/>
          </w:tcPr>
          <w:p w:rsidR="00724476" w:rsidRDefault="00724476" w:rsidP="005874DC">
            <w:pPr>
              <w:spacing w:before="120" w:after="120" w:line="312" w:lineRule="auto"/>
              <w:jc w:val="center"/>
              <w:rPr>
                <w:rFonts w:cstheme="minorHAnsi"/>
                <w:sz w:val="24"/>
                <w:szCs w:val="24"/>
              </w:rPr>
            </w:pPr>
            <w:r w:rsidRPr="00471F18">
              <w:rPr>
                <w:rFonts w:cstheme="minorHAnsi"/>
                <w:sz w:val="24"/>
                <w:szCs w:val="24"/>
              </w:rPr>
              <w:t>21.07.2025 r.</w:t>
            </w:r>
            <w:r>
              <w:rPr>
                <w:rFonts w:cstheme="minorHAnsi"/>
                <w:sz w:val="24"/>
                <w:szCs w:val="24"/>
              </w:rPr>
              <w:t xml:space="preserve">  – 1</w:t>
            </w:r>
            <w:r w:rsidRPr="00471F18">
              <w:rPr>
                <w:rFonts w:cstheme="minorHAnsi"/>
                <w:sz w:val="24"/>
                <w:szCs w:val="24"/>
              </w:rPr>
              <w:t>.08.2025 r.</w:t>
            </w:r>
          </w:p>
          <w:p w:rsidR="00785B5A" w:rsidRPr="00724476" w:rsidRDefault="00F43EE4" w:rsidP="005874DC">
            <w:pPr>
              <w:spacing w:before="120" w:after="120" w:line="312" w:lineRule="auto"/>
              <w:jc w:val="center"/>
              <w:rPr>
                <w:rFonts w:cstheme="minorHAnsi"/>
                <w:sz w:val="24"/>
                <w:szCs w:val="24"/>
              </w:rPr>
            </w:pPr>
            <w:r w:rsidRPr="00DE500E">
              <w:rPr>
                <w:rFonts w:ascii="Calibri" w:hAnsi="Calibri" w:cs="Calibri"/>
                <w:sz w:val="24"/>
                <w:szCs w:val="24"/>
              </w:rPr>
              <w:t>(w</w:t>
            </w:r>
            <w:r w:rsidR="007E7F45" w:rsidRPr="00DE500E">
              <w:rPr>
                <w:rFonts w:ascii="Calibri" w:hAnsi="Calibri" w:cs="Calibri"/>
                <w:sz w:val="24"/>
                <w:szCs w:val="24"/>
              </w:rPr>
              <w:t> </w:t>
            </w:r>
            <w:r w:rsidR="00785B5A" w:rsidRPr="00DE500E">
              <w:rPr>
                <w:rFonts w:ascii="Calibri" w:hAnsi="Calibri" w:cs="Calibri"/>
                <w:sz w:val="24"/>
                <w:szCs w:val="24"/>
              </w:rPr>
              <w:t>wymiarze 2</w:t>
            </w:r>
            <w:r w:rsidR="00724476">
              <w:rPr>
                <w:rFonts w:ascii="Calibri" w:hAnsi="Calibri" w:cs="Calibri"/>
                <w:sz w:val="24"/>
                <w:szCs w:val="24"/>
              </w:rPr>
              <w:t> </w:t>
            </w:r>
            <w:r w:rsidR="00785B5A" w:rsidRPr="00DE500E">
              <w:rPr>
                <w:rFonts w:ascii="Calibri" w:hAnsi="Calibri" w:cs="Calibri"/>
                <w:sz w:val="24"/>
                <w:szCs w:val="24"/>
              </w:rPr>
              <w:t>dni roboczych)</w:t>
            </w:r>
          </w:p>
        </w:tc>
        <w:tc>
          <w:tcPr>
            <w:tcW w:w="4820" w:type="dxa"/>
            <w:shd w:val="clear" w:color="auto" w:fill="E2EFD9" w:themeFill="accent6" w:themeFillTint="33"/>
            <w:vAlign w:val="center"/>
          </w:tcPr>
          <w:p w:rsidR="00724476" w:rsidRPr="00724476" w:rsidRDefault="00724476" w:rsidP="005874DC">
            <w:pPr>
              <w:spacing w:before="120" w:after="120" w:line="312" w:lineRule="auto"/>
              <w:jc w:val="center"/>
              <w:rPr>
                <w:rFonts w:cstheme="minorHAnsi"/>
                <w:bCs/>
                <w:sz w:val="24"/>
                <w:szCs w:val="24"/>
              </w:rPr>
            </w:pPr>
            <w:r w:rsidRPr="00724476">
              <w:rPr>
                <w:rFonts w:cstheme="minorHAnsi"/>
                <w:bCs/>
                <w:sz w:val="24"/>
                <w:szCs w:val="24"/>
              </w:rPr>
              <w:t>2.08.2025 r.</w:t>
            </w:r>
          </w:p>
          <w:p w:rsidR="00785B5A" w:rsidRPr="00DE500E" w:rsidRDefault="00785B5A" w:rsidP="005874DC">
            <w:pPr>
              <w:spacing w:before="120" w:after="120" w:line="312" w:lineRule="auto"/>
              <w:jc w:val="both"/>
              <w:rPr>
                <w:rFonts w:ascii="Calibri" w:hAnsi="Calibri" w:cs="Calibri"/>
                <w:sz w:val="24"/>
                <w:szCs w:val="24"/>
              </w:rPr>
            </w:pPr>
            <w:r w:rsidRPr="00DE500E">
              <w:rPr>
                <w:rFonts w:ascii="Calibri" w:hAnsi="Calibri" w:cs="Calibri"/>
                <w:sz w:val="24"/>
                <w:szCs w:val="24"/>
              </w:rPr>
              <w:t>sporządzenie projektu postanowienia kończącego postępowanie w sprawie z</w:t>
            </w:r>
            <w:r w:rsidR="00F43EE4" w:rsidRPr="00DE500E">
              <w:rPr>
                <w:rFonts w:ascii="Calibri" w:hAnsi="Calibri" w:cs="Calibri"/>
                <w:sz w:val="24"/>
                <w:szCs w:val="24"/>
              </w:rPr>
              <w:t> </w:t>
            </w:r>
            <w:r w:rsidRPr="00DE500E">
              <w:rPr>
                <w:rFonts w:ascii="Calibri" w:hAnsi="Calibri" w:cs="Calibri"/>
                <w:sz w:val="24"/>
                <w:szCs w:val="24"/>
              </w:rPr>
              <w:t>zakresu prawa rzeczowego wraz z</w:t>
            </w:r>
            <w:r w:rsidR="00F43EE4" w:rsidRPr="00DE500E">
              <w:rPr>
                <w:rFonts w:ascii="Calibri" w:hAnsi="Calibri" w:cs="Calibri"/>
                <w:sz w:val="24"/>
                <w:szCs w:val="24"/>
              </w:rPr>
              <w:t> </w:t>
            </w:r>
            <w:r w:rsidRPr="00DE500E">
              <w:rPr>
                <w:rFonts w:ascii="Calibri" w:hAnsi="Calibri" w:cs="Calibri"/>
                <w:sz w:val="24"/>
                <w:szCs w:val="24"/>
              </w:rPr>
              <w:t>omówieniem lub uzasadnieniem</w:t>
            </w:r>
          </w:p>
        </w:tc>
      </w:tr>
      <w:tr w:rsidR="00DE500E" w:rsidRPr="00DE500E" w:rsidTr="00724476">
        <w:trPr>
          <w:trHeight w:val="983"/>
        </w:trPr>
        <w:tc>
          <w:tcPr>
            <w:tcW w:w="993" w:type="dxa"/>
            <w:shd w:val="clear" w:color="auto" w:fill="C5E0B3" w:themeFill="accent6" w:themeFillTint="66"/>
            <w:vAlign w:val="center"/>
          </w:tcPr>
          <w:p w:rsidR="00F43EE4" w:rsidRPr="00DE500E" w:rsidRDefault="00F43EE4" w:rsidP="005874DC">
            <w:pPr>
              <w:spacing w:before="120" w:after="120" w:line="312" w:lineRule="auto"/>
              <w:jc w:val="center"/>
              <w:rPr>
                <w:rFonts w:ascii="Calibri" w:hAnsi="Calibri" w:cs="Calibri"/>
                <w:sz w:val="24"/>
                <w:szCs w:val="24"/>
              </w:rPr>
            </w:pPr>
            <w:r w:rsidRPr="00DE500E">
              <w:rPr>
                <w:rFonts w:ascii="Calibri" w:hAnsi="Calibri" w:cs="Calibri"/>
                <w:sz w:val="24"/>
                <w:szCs w:val="24"/>
              </w:rPr>
              <w:t>25</w:t>
            </w:r>
          </w:p>
        </w:tc>
        <w:tc>
          <w:tcPr>
            <w:tcW w:w="1559" w:type="dxa"/>
            <w:shd w:val="clear" w:color="auto" w:fill="C5E0B3" w:themeFill="accent6" w:themeFillTint="66"/>
            <w:vAlign w:val="center"/>
          </w:tcPr>
          <w:p w:rsidR="00F43EE4" w:rsidRPr="00724476" w:rsidRDefault="00724476" w:rsidP="005874DC">
            <w:pPr>
              <w:spacing w:before="120" w:after="120" w:line="312" w:lineRule="auto"/>
              <w:ind w:left="-170" w:right="-170"/>
              <w:jc w:val="center"/>
              <w:rPr>
                <w:rFonts w:ascii="Calibri" w:hAnsi="Calibri" w:cs="Calibri"/>
                <w:sz w:val="24"/>
                <w:szCs w:val="24"/>
              </w:rPr>
            </w:pPr>
            <w:r w:rsidRPr="00724476">
              <w:rPr>
                <w:rFonts w:cstheme="minorHAnsi"/>
                <w:bCs/>
                <w:sz w:val="24"/>
                <w:szCs w:val="24"/>
              </w:rPr>
              <w:t xml:space="preserve">2.08.2025 r. – 3.08.2025 </w:t>
            </w:r>
            <w:r w:rsidRPr="00724476">
              <w:rPr>
                <w:rFonts w:cstheme="minorHAnsi"/>
                <w:sz w:val="24"/>
                <w:szCs w:val="24"/>
              </w:rPr>
              <w:t>r.</w:t>
            </w:r>
          </w:p>
        </w:tc>
        <w:tc>
          <w:tcPr>
            <w:tcW w:w="1984" w:type="dxa"/>
            <w:shd w:val="clear" w:color="auto" w:fill="C5E0B3" w:themeFill="accent6" w:themeFillTint="66"/>
            <w:vAlign w:val="center"/>
          </w:tcPr>
          <w:p w:rsidR="00724476" w:rsidRDefault="00724476" w:rsidP="005874DC">
            <w:pPr>
              <w:spacing w:before="120" w:after="120" w:line="312" w:lineRule="auto"/>
              <w:jc w:val="center"/>
              <w:rPr>
                <w:rFonts w:cstheme="minorHAnsi"/>
                <w:sz w:val="24"/>
                <w:szCs w:val="24"/>
              </w:rPr>
            </w:pPr>
            <w:r w:rsidRPr="00471F18">
              <w:rPr>
                <w:rFonts w:cstheme="minorHAnsi"/>
                <w:sz w:val="24"/>
                <w:szCs w:val="24"/>
              </w:rPr>
              <w:t>4.08.2025 r</w:t>
            </w:r>
            <w:r>
              <w:rPr>
                <w:rFonts w:cstheme="minorHAnsi"/>
                <w:sz w:val="24"/>
                <w:szCs w:val="24"/>
              </w:rPr>
              <w:t xml:space="preserve">. </w:t>
            </w:r>
            <w:r w:rsidRPr="00471F18">
              <w:rPr>
                <w:rFonts w:cstheme="minorHAnsi"/>
                <w:sz w:val="24"/>
                <w:szCs w:val="24"/>
              </w:rPr>
              <w:t>–</w:t>
            </w:r>
            <w:r>
              <w:rPr>
                <w:rFonts w:cstheme="minorHAnsi"/>
                <w:sz w:val="24"/>
                <w:szCs w:val="24"/>
              </w:rPr>
              <w:t> </w:t>
            </w:r>
            <w:r w:rsidRPr="00471F18">
              <w:rPr>
                <w:rFonts w:cstheme="minorHAnsi"/>
                <w:sz w:val="24"/>
                <w:szCs w:val="24"/>
              </w:rPr>
              <w:t>14.08.2025 r.</w:t>
            </w:r>
          </w:p>
          <w:p w:rsidR="007E7F45" w:rsidRPr="00DE500E" w:rsidRDefault="007E7F45" w:rsidP="005874DC">
            <w:pPr>
              <w:spacing w:before="120" w:after="120" w:line="312" w:lineRule="auto"/>
              <w:jc w:val="center"/>
              <w:rPr>
                <w:rFonts w:ascii="Calibri" w:hAnsi="Calibri" w:cs="Calibri"/>
                <w:sz w:val="24"/>
                <w:szCs w:val="24"/>
              </w:rPr>
            </w:pPr>
            <w:r w:rsidRPr="00DE500E">
              <w:rPr>
                <w:rFonts w:ascii="Calibri" w:hAnsi="Calibri" w:cs="Calibri"/>
                <w:sz w:val="24"/>
                <w:szCs w:val="24"/>
              </w:rPr>
              <w:t>(w wymiarze 2</w:t>
            </w:r>
            <w:r w:rsidR="00724476">
              <w:rPr>
                <w:rFonts w:ascii="Calibri" w:hAnsi="Calibri" w:cs="Calibri"/>
                <w:sz w:val="24"/>
                <w:szCs w:val="24"/>
              </w:rPr>
              <w:t> </w:t>
            </w:r>
            <w:r w:rsidRPr="00DE500E">
              <w:rPr>
                <w:rFonts w:ascii="Calibri" w:hAnsi="Calibri" w:cs="Calibri"/>
                <w:sz w:val="24"/>
                <w:szCs w:val="24"/>
              </w:rPr>
              <w:t>dni roboczych)</w:t>
            </w:r>
          </w:p>
        </w:tc>
        <w:tc>
          <w:tcPr>
            <w:tcW w:w="4820" w:type="dxa"/>
            <w:shd w:val="clear" w:color="auto" w:fill="C5E0B3" w:themeFill="accent6" w:themeFillTint="66"/>
            <w:vAlign w:val="center"/>
          </w:tcPr>
          <w:p w:rsidR="00724476" w:rsidRPr="00724476" w:rsidRDefault="00724476" w:rsidP="005874DC">
            <w:pPr>
              <w:spacing w:before="120" w:after="120" w:line="312" w:lineRule="auto"/>
              <w:jc w:val="center"/>
              <w:rPr>
                <w:rFonts w:cstheme="minorHAnsi"/>
                <w:bCs/>
                <w:sz w:val="24"/>
                <w:szCs w:val="24"/>
              </w:rPr>
            </w:pPr>
            <w:r w:rsidRPr="00724476">
              <w:rPr>
                <w:rFonts w:cstheme="minorHAnsi"/>
                <w:bCs/>
                <w:sz w:val="24"/>
                <w:szCs w:val="24"/>
              </w:rPr>
              <w:t>16.08.2025 r.</w:t>
            </w:r>
          </w:p>
          <w:p w:rsidR="00F43EE4" w:rsidRPr="00DE500E" w:rsidRDefault="00F43EE4" w:rsidP="005874DC">
            <w:pPr>
              <w:spacing w:before="120" w:after="120" w:line="312" w:lineRule="auto"/>
              <w:jc w:val="both"/>
              <w:rPr>
                <w:rFonts w:ascii="Calibri" w:hAnsi="Calibri" w:cs="Calibri"/>
                <w:sz w:val="24"/>
                <w:szCs w:val="24"/>
              </w:rPr>
            </w:pPr>
            <w:r w:rsidRPr="00DE500E">
              <w:rPr>
                <w:rFonts w:ascii="Calibri" w:hAnsi="Calibri" w:cs="Calibri"/>
                <w:sz w:val="24"/>
                <w:szCs w:val="24"/>
              </w:rPr>
              <w:t>opracowanie, na podstawie spreparowanych akt, projektu orzeczenia rozstrzygającego co do istoty sprawy w postępowaniu z zakresu prawa osobowego lub spadkowego wraz z</w:t>
            </w:r>
            <w:r w:rsidR="007E7F45" w:rsidRPr="00DE500E">
              <w:rPr>
                <w:rFonts w:ascii="Calibri" w:hAnsi="Calibri" w:cs="Calibri"/>
                <w:sz w:val="24"/>
                <w:szCs w:val="24"/>
              </w:rPr>
              <w:t> </w:t>
            </w:r>
            <w:r w:rsidRPr="00DE500E">
              <w:rPr>
                <w:rFonts w:ascii="Calibri" w:hAnsi="Calibri" w:cs="Calibri"/>
                <w:sz w:val="24"/>
                <w:szCs w:val="24"/>
              </w:rPr>
              <w:t>uzasadnieniem lub omówieniem</w:t>
            </w:r>
          </w:p>
        </w:tc>
      </w:tr>
      <w:tr w:rsidR="00DE500E" w:rsidRPr="00DE500E" w:rsidTr="00724476">
        <w:tc>
          <w:tcPr>
            <w:tcW w:w="993" w:type="dxa"/>
            <w:shd w:val="clear" w:color="auto" w:fill="E2EFD9" w:themeFill="accent6" w:themeFillTint="33"/>
            <w:vAlign w:val="center"/>
          </w:tcPr>
          <w:p w:rsidR="00F43EE4" w:rsidRPr="00DE500E" w:rsidRDefault="00F43EE4" w:rsidP="005874DC">
            <w:pPr>
              <w:spacing w:before="120" w:after="120" w:line="312" w:lineRule="auto"/>
              <w:jc w:val="center"/>
              <w:rPr>
                <w:rFonts w:ascii="Calibri" w:hAnsi="Calibri" w:cs="Calibri"/>
                <w:sz w:val="24"/>
                <w:szCs w:val="24"/>
              </w:rPr>
            </w:pPr>
            <w:r w:rsidRPr="00DE500E">
              <w:rPr>
                <w:rFonts w:ascii="Calibri" w:hAnsi="Calibri" w:cs="Calibri"/>
                <w:sz w:val="24"/>
                <w:szCs w:val="24"/>
              </w:rPr>
              <w:t>26</w:t>
            </w:r>
          </w:p>
        </w:tc>
        <w:tc>
          <w:tcPr>
            <w:tcW w:w="1559" w:type="dxa"/>
            <w:shd w:val="clear" w:color="auto" w:fill="E2EFD9" w:themeFill="accent6" w:themeFillTint="33"/>
            <w:vAlign w:val="center"/>
          </w:tcPr>
          <w:p w:rsidR="00724476" w:rsidRPr="00724476" w:rsidRDefault="00724476" w:rsidP="005874DC">
            <w:pPr>
              <w:spacing w:before="120" w:after="120" w:line="312" w:lineRule="auto"/>
              <w:ind w:left="-170" w:right="-170"/>
              <w:jc w:val="center"/>
              <w:rPr>
                <w:rFonts w:cstheme="minorHAnsi"/>
                <w:sz w:val="24"/>
                <w:szCs w:val="24"/>
              </w:rPr>
            </w:pPr>
            <w:r w:rsidRPr="00724476">
              <w:rPr>
                <w:rFonts w:cstheme="minorHAnsi"/>
                <w:bCs/>
                <w:sz w:val="24"/>
                <w:szCs w:val="24"/>
              </w:rPr>
              <w:t xml:space="preserve">16.08.2025 r. – 17.08.2025 </w:t>
            </w:r>
            <w:r w:rsidRPr="00724476">
              <w:rPr>
                <w:rFonts w:cstheme="minorHAnsi"/>
                <w:sz w:val="24"/>
                <w:szCs w:val="24"/>
              </w:rPr>
              <w:t>r.</w:t>
            </w:r>
          </w:p>
          <w:p w:rsidR="00F43EE4" w:rsidRPr="00724476" w:rsidRDefault="00F43EE4" w:rsidP="005874DC">
            <w:pPr>
              <w:spacing w:before="120" w:after="120" w:line="312" w:lineRule="auto"/>
              <w:ind w:left="-170" w:right="-170"/>
              <w:jc w:val="center"/>
              <w:rPr>
                <w:rFonts w:ascii="Calibri" w:hAnsi="Calibri" w:cs="Calibri"/>
                <w:sz w:val="24"/>
                <w:szCs w:val="24"/>
              </w:rPr>
            </w:pPr>
          </w:p>
        </w:tc>
        <w:tc>
          <w:tcPr>
            <w:tcW w:w="1984" w:type="dxa"/>
            <w:shd w:val="clear" w:color="auto" w:fill="E2EFD9" w:themeFill="accent6" w:themeFillTint="33"/>
            <w:vAlign w:val="center"/>
          </w:tcPr>
          <w:p w:rsidR="007E7F45" w:rsidRDefault="00724476" w:rsidP="005874DC">
            <w:pPr>
              <w:spacing w:before="120" w:after="120" w:line="312" w:lineRule="auto"/>
              <w:jc w:val="center"/>
              <w:rPr>
                <w:rFonts w:cstheme="minorHAnsi"/>
                <w:sz w:val="24"/>
                <w:szCs w:val="24"/>
              </w:rPr>
            </w:pPr>
            <w:r w:rsidRPr="00471F18">
              <w:rPr>
                <w:rFonts w:cstheme="minorHAnsi"/>
                <w:sz w:val="24"/>
                <w:szCs w:val="24"/>
              </w:rPr>
              <w:t>18.08.2025 r.</w:t>
            </w:r>
            <w:r w:rsidR="005874DC">
              <w:rPr>
                <w:rFonts w:cstheme="minorHAnsi"/>
                <w:sz w:val="24"/>
                <w:szCs w:val="24"/>
              </w:rPr>
              <w:t xml:space="preserve"> – </w:t>
            </w:r>
            <w:r w:rsidRPr="00471F18">
              <w:rPr>
                <w:rFonts w:cstheme="minorHAnsi"/>
                <w:sz w:val="24"/>
                <w:szCs w:val="24"/>
              </w:rPr>
              <w:t>29.08.2025 r.</w:t>
            </w:r>
          </w:p>
          <w:p w:rsidR="00724476" w:rsidRPr="00DE500E" w:rsidRDefault="00724476" w:rsidP="005874DC">
            <w:pPr>
              <w:spacing w:before="120" w:after="120" w:line="312" w:lineRule="auto"/>
              <w:jc w:val="center"/>
              <w:rPr>
                <w:rFonts w:ascii="Calibri" w:hAnsi="Calibri" w:cs="Calibri"/>
                <w:sz w:val="24"/>
                <w:szCs w:val="24"/>
              </w:rPr>
            </w:pPr>
            <w:r w:rsidRPr="00DE500E">
              <w:rPr>
                <w:rFonts w:ascii="Calibri" w:hAnsi="Calibri" w:cs="Calibri"/>
                <w:sz w:val="24"/>
                <w:szCs w:val="24"/>
              </w:rPr>
              <w:t>(w wymiarze 2</w:t>
            </w:r>
            <w:r>
              <w:rPr>
                <w:rFonts w:ascii="Calibri" w:hAnsi="Calibri" w:cs="Calibri"/>
                <w:sz w:val="24"/>
                <w:szCs w:val="24"/>
              </w:rPr>
              <w:t> </w:t>
            </w:r>
            <w:r w:rsidRPr="00DE500E">
              <w:rPr>
                <w:rFonts w:ascii="Calibri" w:hAnsi="Calibri" w:cs="Calibri"/>
                <w:sz w:val="24"/>
                <w:szCs w:val="24"/>
              </w:rPr>
              <w:t>dni roboczych)</w:t>
            </w:r>
          </w:p>
        </w:tc>
        <w:tc>
          <w:tcPr>
            <w:tcW w:w="4820" w:type="dxa"/>
            <w:shd w:val="clear" w:color="auto" w:fill="E2EFD9" w:themeFill="accent6" w:themeFillTint="33"/>
            <w:vAlign w:val="center"/>
          </w:tcPr>
          <w:p w:rsidR="00724476" w:rsidRPr="00724476" w:rsidRDefault="00724476" w:rsidP="005874DC">
            <w:pPr>
              <w:spacing w:before="120" w:after="120" w:line="312" w:lineRule="auto"/>
              <w:jc w:val="center"/>
              <w:rPr>
                <w:rFonts w:cstheme="minorHAnsi"/>
                <w:bCs/>
                <w:sz w:val="24"/>
                <w:szCs w:val="24"/>
              </w:rPr>
            </w:pPr>
            <w:r w:rsidRPr="00724476">
              <w:rPr>
                <w:rFonts w:cstheme="minorHAnsi"/>
                <w:bCs/>
                <w:sz w:val="24"/>
                <w:szCs w:val="24"/>
              </w:rPr>
              <w:t>30.08.2025 r.</w:t>
            </w:r>
          </w:p>
          <w:p w:rsidR="00F43EE4" w:rsidRPr="00DE500E" w:rsidRDefault="00F43EE4" w:rsidP="005874DC">
            <w:pPr>
              <w:spacing w:before="120" w:after="120" w:line="312" w:lineRule="auto"/>
              <w:jc w:val="both"/>
              <w:rPr>
                <w:rFonts w:ascii="Calibri" w:hAnsi="Calibri" w:cs="Calibri"/>
                <w:sz w:val="24"/>
                <w:szCs w:val="24"/>
              </w:rPr>
            </w:pPr>
            <w:r w:rsidRPr="00DE500E">
              <w:rPr>
                <w:rFonts w:ascii="Calibri" w:hAnsi="Calibri" w:cs="Calibri"/>
                <w:sz w:val="24"/>
                <w:szCs w:val="24"/>
              </w:rPr>
              <w:t>sporządzenie projektu postanowienia kończącego postępowanie w sprawie działowej (o</w:t>
            </w:r>
            <w:r w:rsidR="007E7F45" w:rsidRPr="00DE500E">
              <w:rPr>
                <w:rFonts w:ascii="Calibri" w:hAnsi="Calibri" w:cs="Calibri"/>
                <w:sz w:val="24"/>
                <w:szCs w:val="24"/>
              </w:rPr>
              <w:t xml:space="preserve"> </w:t>
            </w:r>
            <w:r w:rsidRPr="00DE500E">
              <w:rPr>
                <w:rFonts w:ascii="Calibri" w:hAnsi="Calibri" w:cs="Calibri"/>
                <w:sz w:val="24"/>
                <w:szCs w:val="24"/>
              </w:rPr>
              <w:t>zniesienie współwłasności, podział majątku wspólnego, dział spadku) wraz z omówieniem lub uzasadnieniem</w:t>
            </w:r>
          </w:p>
        </w:tc>
      </w:tr>
    </w:tbl>
    <w:p w:rsidR="00785B5A" w:rsidRDefault="00785B5A" w:rsidP="00DE500E">
      <w:pPr>
        <w:pStyle w:val="Akapitzlist"/>
        <w:spacing w:after="120" w:line="312" w:lineRule="auto"/>
        <w:ind w:left="0" w:firstLine="709"/>
        <w:contextualSpacing w:val="0"/>
        <w:jc w:val="both"/>
        <w:rPr>
          <w:rFonts w:ascii="Calibri" w:eastAsia="Times New Roman" w:hAnsi="Calibri" w:cs="Calibri"/>
          <w:i/>
          <w:sz w:val="24"/>
          <w:szCs w:val="24"/>
        </w:rPr>
      </w:pPr>
    </w:p>
    <w:p w:rsidR="00DE500E" w:rsidRDefault="00DE500E" w:rsidP="00DE500E">
      <w:pPr>
        <w:pStyle w:val="Akapitzlist"/>
        <w:spacing w:after="120" w:line="312" w:lineRule="auto"/>
        <w:ind w:left="0" w:firstLine="709"/>
        <w:contextualSpacing w:val="0"/>
        <w:jc w:val="both"/>
        <w:rPr>
          <w:rFonts w:ascii="Calibri" w:eastAsia="Times New Roman" w:hAnsi="Calibri" w:cs="Calibri"/>
          <w:i/>
          <w:sz w:val="24"/>
          <w:szCs w:val="24"/>
        </w:rPr>
      </w:pPr>
    </w:p>
    <w:p w:rsidR="00DE500E" w:rsidRDefault="00DE500E" w:rsidP="00DE500E">
      <w:pPr>
        <w:pStyle w:val="Akapitzlist"/>
        <w:spacing w:after="120" w:line="312" w:lineRule="auto"/>
        <w:ind w:left="0" w:firstLine="709"/>
        <w:contextualSpacing w:val="0"/>
        <w:jc w:val="both"/>
        <w:rPr>
          <w:rFonts w:ascii="Calibri" w:eastAsia="Times New Roman" w:hAnsi="Calibri" w:cs="Calibri"/>
          <w:i/>
          <w:sz w:val="24"/>
          <w:szCs w:val="24"/>
        </w:rPr>
      </w:pPr>
    </w:p>
    <w:p w:rsidR="005874DC" w:rsidRDefault="005874DC" w:rsidP="00DE500E">
      <w:pPr>
        <w:pStyle w:val="Akapitzlist"/>
        <w:spacing w:after="120" w:line="312" w:lineRule="auto"/>
        <w:ind w:left="0" w:firstLine="709"/>
        <w:contextualSpacing w:val="0"/>
        <w:jc w:val="both"/>
        <w:rPr>
          <w:rFonts w:ascii="Calibri" w:eastAsia="Times New Roman" w:hAnsi="Calibri" w:cs="Calibri"/>
          <w:i/>
          <w:sz w:val="24"/>
          <w:szCs w:val="24"/>
        </w:rPr>
      </w:pPr>
    </w:p>
    <w:p w:rsidR="00DE500E" w:rsidRDefault="00DE500E" w:rsidP="00DE500E">
      <w:pPr>
        <w:pStyle w:val="Akapitzlist"/>
        <w:spacing w:after="120" w:line="312" w:lineRule="auto"/>
        <w:ind w:left="0" w:firstLine="709"/>
        <w:contextualSpacing w:val="0"/>
        <w:jc w:val="both"/>
        <w:rPr>
          <w:rFonts w:ascii="Calibri" w:eastAsia="Times New Roman" w:hAnsi="Calibri" w:cs="Calibri"/>
          <w:i/>
          <w:sz w:val="24"/>
          <w:szCs w:val="24"/>
        </w:rPr>
      </w:pPr>
    </w:p>
    <w:p w:rsidR="00785B5A" w:rsidRPr="00DE500E" w:rsidRDefault="00785B5A" w:rsidP="005874DC">
      <w:pPr>
        <w:pStyle w:val="Akapitzlist"/>
        <w:numPr>
          <w:ilvl w:val="0"/>
          <w:numId w:val="1"/>
        </w:numPr>
        <w:spacing w:after="0" w:line="312" w:lineRule="auto"/>
        <w:ind w:left="714" w:hanging="357"/>
        <w:contextualSpacing w:val="0"/>
        <w:jc w:val="both"/>
        <w:rPr>
          <w:rFonts w:ascii="Calibri" w:eastAsia="Times New Roman" w:hAnsi="Calibri" w:cs="Calibri"/>
          <w:b/>
          <w:sz w:val="24"/>
          <w:szCs w:val="24"/>
        </w:rPr>
      </w:pPr>
      <w:r w:rsidRPr="00DE500E">
        <w:rPr>
          <w:rFonts w:ascii="Calibri" w:eastAsia="Times New Roman" w:hAnsi="Calibri" w:cs="Calibri"/>
          <w:b/>
          <w:sz w:val="24"/>
          <w:szCs w:val="24"/>
        </w:rPr>
        <w:lastRenderedPageBreak/>
        <w:t>Zalecenia dotyczące przebiegu poszczególnych praktyk</w:t>
      </w:r>
    </w:p>
    <w:p w:rsidR="00785B5A" w:rsidRPr="00DE500E" w:rsidRDefault="00785B5A" w:rsidP="005874DC">
      <w:pPr>
        <w:spacing w:after="0" w:line="312" w:lineRule="auto"/>
        <w:jc w:val="both"/>
        <w:rPr>
          <w:rFonts w:ascii="Calibri" w:hAnsi="Calibri" w:cs="Calibri"/>
          <w:sz w:val="24"/>
          <w:szCs w:val="24"/>
        </w:rPr>
      </w:pPr>
    </w:p>
    <w:p w:rsidR="00785B5A" w:rsidRPr="00DE500E" w:rsidRDefault="00785B5A" w:rsidP="00DE500E">
      <w:pPr>
        <w:pStyle w:val="Akapitzlist"/>
        <w:numPr>
          <w:ilvl w:val="1"/>
          <w:numId w:val="1"/>
        </w:numPr>
        <w:spacing w:after="120" w:line="312" w:lineRule="auto"/>
        <w:ind w:left="0" w:firstLine="0"/>
        <w:contextualSpacing w:val="0"/>
        <w:jc w:val="center"/>
        <w:rPr>
          <w:rFonts w:ascii="Calibri" w:hAnsi="Calibri" w:cs="Calibri"/>
          <w:b/>
          <w:sz w:val="24"/>
          <w:szCs w:val="24"/>
        </w:rPr>
      </w:pPr>
      <w:r w:rsidRPr="00DE500E">
        <w:rPr>
          <w:rFonts w:ascii="Calibri" w:hAnsi="Calibri" w:cs="Calibri"/>
          <w:b/>
          <w:sz w:val="24"/>
          <w:szCs w:val="24"/>
        </w:rPr>
        <w:t xml:space="preserve"> ZALECENIA W SPRAWIE PRAKTYK PO 24 ZJEŹDZIE</w:t>
      </w:r>
    </w:p>
    <w:p w:rsidR="00785B5A" w:rsidRPr="00DE500E" w:rsidRDefault="00785B5A" w:rsidP="00DE500E">
      <w:pPr>
        <w:pStyle w:val="Teksttreci60"/>
        <w:spacing w:after="120" w:line="312" w:lineRule="auto"/>
        <w:ind w:left="80"/>
        <w:rPr>
          <w:rFonts w:ascii="Calibri" w:hAnsi="Calibri" w:cs="Calibri"/>
          <w:sz w:val="24"/>
          <w:szCs w:val="24"/>
        </w:rPr>
      </w:pPr>
      <w:r w:rsidRPr="00DE500E">
        <w:rPr>
          <w:rFonts w:ascii="Calibri" w:hAnsi="Calibri" w:cs="Calibri"/>
          <w:b/>
          <w:sz w:val="24"/>
          <w:szCs w:val="24"/>
        </w:rPr>
        <w:t>Przedmiot zjazdu:</w:t>
      </w:r>
      <w:r w:rsidRPr="00DE500E">
        <w:rPr>
          <w:rFonts w:ascii="Calibri" w:hAnsi="Calibri" w:cs="Calibri"/>
          <w:sz w:val="24"/>
          <w:szCs w:val="24"/>
        </w:rPr>
        <w:t xml:space="preserve"> postępowanie nieprocesowe, prawo rzeczowe.</w:t>
      </w:r>
    </w:p>
    <w:p w:rsidR="00785B5A" w:rsidRPr="00DE500E" w:rsidRDefault="00785B5A" w:rsidP="00DE500E">
      <w:pPr>
        <w:pStyle w:val="Teksttreci60"/>
        <w:spacing w:line="312" w:lineRule="auto"/>
        <w:ind w:firstLine="709"/>
        <w:jc w:val="both"/>
        <w:rPr>
          <w:rFonts w:ascii="Calibri" w:hAnsi="Calibri" w:cs="Calibri"/>
          <w:sz w:val="24"/>
          <w:szCs w:val="24"/>
        </w:rPr>
      </w:pPr>
      <w:r w:rsidRPr="00DE500E">
        <w:rPr>
          <w:rFonts w:ascii="Calibri" w:hAnsi="Calibri" w:cs="Calibri"/>
          <w:sz w:val="24"/>
          <w:szCs w:val="24"/>
        </w:rPr>
        <w:t xml:space="preserve">W zakresie </w:t>
      </w:r>
      <w:r w:rsidRPr="00DE500E">
        <w:rPr>
          <w:rFonts w:ascii="Calibri" w:hAnsi="Calibri" w:cs="Calibri"/>
          <w:b/>
          <w:sz w:val="24"/>
          <w:szCs w:val="24"/>
        </w:rPr>
        <w:t>prawa materialnego</w:t>
      </w:r>
      <w:r w:rsidRPr="00DE500E">
        <w:rPr>
          <w:rFonts w:ascii="Calibri" w:hAnsi="Calibri" w:cs="Calibri"/>
          <w:sz w:val="24"/>
          <w:szCs w:val="24"/>
        </w:rPr>
        <w:t xml:space="preserve"> należy poświęcić szczególną uwagę zagadnieniem</w:t>
      </w:r>
      <w:r w:rsidR="000F44A7" w:rsidRPr="00DE500E">
        <w:rPr>
          <w:rFonts w:ascii="Calibri" w:hAnsi="Calibri" w:cs="Calibri"/>
          <w:sz w:val="24"/>
          <w:szCs w:val="24"/>
        </w:rPr>
        <w:t xml:space="preserve"> </w:t>
      </w:r>
      <w:r w:rsidRPr="00DE500E">
        <w:rPr>
          <w:rFonts w:ascii="Calibri" w:hAnsi="Calibri" w:cs="Calibri"/>
          <w:sz w:val="24"/>
          <w:szCs w:val="24"/>
        </w:rPr>
        <w:t>prawa cywilnego, które obejmują:</w:t>
      </w:r>
    </w:p>
    <w:p w:rsidR="00FB659B" w:rsidRPr="00DE500E" w:rsidRDefault="00785B5A" w:rsidP="00DE500E">
      <w:pPr>
        <w:pStyle w:val="Teksttreci60"/>
        <w:numPr>
          <w:ilvl w:val="0"/>
          <w:numId w:val="36"/>
        </w:numPr>
        <w:spacing w:line="312" w:lineRule="auto"/>
        <w:ind w:left="714" w:hanging="357"/>
        <w:jc w:val="both"/>
        <w:rPr>
          <w:rFonts w:ascii="Calibri" w:hAnsi="Calibri" w:cs="Calibri"/>
          <w:sz w:val="24"/>
          <w:szCs w:val="24"/>
        </w:rPr>
      </w:pPr>
      <w:r w:rsidRPr="00DE500E">
        <w:rPr>
          <w:rFonts w:ascii="Calibri" w:hAnsi="Calibri" w:cs="Calibri"/>
          <w:sz w:val="24"/>
          <w:szCs w:val="24"/>
        </w:rPr>
        <w:t>zasiedzenie własności nieruchomości (przesłanki zasiedzenia; zasiedzenie ułamkowego</w:t>
      </w:r>
      <w:r w:rsidR="000F44A7" w:rsidRPr="00DE500E">
        <w:rPr>
          <w:rFonts w:ascii="Calibri" w:hAnsi="Calibri" w:cs="Calibri"/>
          <w:sz w:val="24"/>
          <w:szCs w:val="24"/>
        </w:rPr>
        <w:t xml:space="preserve"> </w:t>
      </w:r>
      <w:r w:rsidRPr="00DE500E">
        <w:rPr>
          <w:rFonts w:ascii="Calibri" w:hAnsi="Calibri" w:cs="Calibri"/>
          <w:sz w:val="24"/>
          <w:szCs w:val="24"/>
        </w:rPr>
        <w:t>udziału w nieruchomości a zasiedzenie części nieruchomości; nabycie w drodze zasiedzenia</w:t>
      </w:r>
      <w:r w:rsidR="000F44A7" w:rsidRPr="00DE500E">
        <w:rPr>
          <w:rFonts w:ascii="Calibri" w:hAnsi="Calibri" w:cs="Calibri"/>
          <w:sz w:val="24"/>
          <w:szCs w:val="24"/>
        </w:rPr>
        <w:t xml:space="preserve"> </w:t>
      </w:r>
      <w:r w:rsidRPr="00DE500E">
        <w:rPr>
          <w:rFonts w:ascii="Calibri" w:hAnsi="Calibri" w:cs="Calibri"/>
          <w:sz w:val="24"/>
          <w:szCs w:val="24"/>
        </w:rPr>
        <w:t>własności nieruchomości przez małżonków; zasiedzenie nieruchomości, która w okresie</w:t>
      </w:r>
      <w:r w:rsidR="000F44A7" w:rsidRPr="00DE500E">
        <w:rPr>
          <w:rFonts w:ascii="Calibri" w:hAnsi="Calibri" w:cs="Calibri"/>
          <w:sz w:val="24"/>
          <w:szCs w:val="24"/>
        </w:rPr>
        <w:t xml:space="preserve"> </w:t>
      </w:r>
      <w:r w:rsidRPr="00DE500E">
        <w:rPr>
          <w:rFonts w:ascii="Calibri" w:hAnsi="Calibri" w:cs="Calibri"/>
          <w:sz w:val="24"/>
          <w:szCs w:val="24"/>
        </w:rPr>
        <w:t>biegu zasiedzenia stanowiła własność Skarbu Państwa oraz materialnoprawne skutki</w:t>
      </w:r>
      <w:r w:rsidR="000F44A7" w:rsidRPr="00DE500E">
        <w:rPr>
          <w:rFonts w:ascii="Calibri" w:hAnsi="Calibri" w:cs="Calibri"/>
          <w:sz w:val="24"/>
          <w:szCs w:val="24"/>
        </w:rPr>
        <w:t xml:space="preserve"> </w:t>
      </w:r>
      <w:r w:rsidRPr="00DE500E">
        <w:rPr>
          <w:rFonts w:ascii="Calibri" w:hAnsi="Calibri" w:cs="Calibri"/>
          <w:sz w:val="24"/>
          <w:szCs w:val="24"/>
        </w:rPr>
        <w:t>komunalizacji takiej nieruchomości w okresie biegu zasiedzenia; stosowanie w</w:t>
      </w:r>
      <w:r w:rsidR="00FB659B" w:rsidRPr="00DE500E">
        <w:rPr>
          <w:rFonts w:ascii="Calibri" w:hAnsi="Calibri" w:cs="Calibri"/>
          <w:sz w:val="24"/>
          <w:szCs w:val="24"/>
        </w:rPr>
        <w:t> </w:t>
      </w:r>
      <w:r w:rsidRPr="00DE500E">
        <w:rPr>
          <w:rFonts w:ascii="Calibri" w:hAnsi="Calibri" w:cs="Calibri"/>
          <w:sz w:val="24"/>
          <w:szCs w:val="24"/>
        </w:rPr>
        <w:t>sprawach</w:t>
      </w:r>
      <w:r w:rsidR="000F44A7" w:rsidRPr="00DE500E">
        <w:rPr>
          <w:rFonts w:ascii="Calibri" w:hAnsi="Calibri" w:cs="Calibri"/>
          <w:sz w:val="24"/>
          <w:szCs w:val="24"/>
        </w:rPr>
        <w:t xml:space="preserve"> </w:t>
      </w:r>
      <w:r w:rsidRPr="00DE500E">
        <w:rPr>
          <w:rFonts w:ascii="Calibri" w:hAnsi="Calibri" w:cs="Calibri"/>
          <w:sz w:val="24"/>
          <w:szCs w:val="24"/>
        </w:rPr>
        <w:t>o zasiedzenie przepisów obowiązujących w różnych częściach kraju przed unifikacją prawa</w:t>
      </w:r>
      <w:r w:rsidR="000F44A7" w:rsidRPr="00DE500E">
        <w:rPr>
          <w:rFonts w:ascii="Calibri" w:hAnsi="Calibri" w:cs="Calibri"/>
          <w:sz w:val="24"/>
          <w:szCs w:val="24"/>
        </w:rPr>
        <w:t xml:space="preserve"> </w:t>
      </w:r>
      <w:r w:rsidRPr="00DE500E">
        <w:rPr>
          <w:rFonts w:ascii="Calibri" w:hAnsi="Calibri" w:cs="Calibri"/>
          <w:sz w:val="24"/>
          <w:szCs w:val="24"/>
        </w:rPr>
        <w:t>rzeczowego (BGB, ABGB, Kodeks Napoleona) i</w:t>
      </w:r>
      <w:r w:rsidR="005874DC">
        <w:rPr>
          <w:rFonts w:ascii="Calibri" w:hAnsi="Calibri" w:cs="Calibri"/>
          <w:sz w:val="24"/>
          <w:szCs w:val="24"/>
        </w:rPr>
        <w:t> </w:t>
      </w:r>
      <w:r w:rsidRPr="00DE500E">
        <w:rPr>
          <w:rFonts w:ascii="Calibri" w:hAnsi="Calibri" w:cs="Calibri"/>
          <w:sz w:val="24"/>
          <w:szCs w:val="24"/>
        </w:rPr>
        <w:t>przepisów dekretu z</w:t>
      </w:r>
      <w:r w:rsidR="00FB659B" w:rsidRPr="00DE500E">
        <w:rPr>
          <w:rFonts w:ascii="Calibri" w:hAnsi="Calibri" w:cs="Calibri"/>
          <w:sz w:val="24"/>
          <w:szCs w:val="24"/>
        </w:rPr>
        <w:t> </w:t>
      </w:r>
      <w:r w:rsidRPr="00DE500E">
        <w:rPr>
          <w:rFonts w:ascii="Calibri" w:hAnsi="Calibri" w:cs="Calibri"/>
          <w:sz w:val="24"/>
          <w:szCs w:val="24"/>
        </w:rPr>
        <w:t>dnia 11 października</w:t>
      </w:r>
      <w:r w:rsidR="000F44A7" w:rsidRPr="00DE500E">
        <w:rPr>
          <w:rFonts w:ascii="Calibri" w:hAnsi="Calibri" w:cs="Calibri"/>
          <w:sz w:val="24"/>
          <w:szCs w:val="24"/>
        </w:rPr>
        <w:t xml:space="preserve"> </w:t>
      </w:r>
      <w:r w:rsidRPr="00DE500E">
        <w:rPr>
          <w:rFonts w:ascii="Calibri" w:hAnsi="Calibri" w:cs="Calibri"/>
          <w:sz w:val="24"/>
          <w:szCs w:val="24"/>
        </w:rPr>
        <w:t>1946 r. - Prawo rzeczowe oraz przepisów intertemporalnych);</w:t>
      </w:r>
    </w:p>
    <w:p w:rsidR="00785B5A" w:rsidRPr="00DE500E" w:rsidRDefault="00785B5A" w:rsidP="00DE500E">
      <w:pPr>
        <w:pStyle w:val="Teksttreci60"/>
        <w:numPr>
          <w:ilvl w:val="0"/>
          <w:numId w:val="36"/>
        </w:numPr>
        <w:spacing w:line="312" w:lineRule="auto"/>
        <w:ind w:left="714" w:hanging="357"/>
        <w:jc w:val="both"/>
        <w:rPr>
          <w:rFonts w:ascii="Calibri" w:hAnsi="Calibri" w:cs="Calibri"/>
          <w:sz w:val="24"/>
          <w:szCs w:val="24"/>
        </w:rPr>
      </w:pPr>
      <w:r w:rsidRPr="00DE500E">
        <w:rPr>
          <w:rFonts w:ascii="Calibri" w:hAnsi="Calibri" w:cs="Calibri"/>
          <w:sz w:val="24"/>
          <w:szCs w:val="24"/>
        </w:rPr>
        <w:t>uwłaszczenie na podstawie ustawy z dnia 27 października 1971 r. o uregulowaniu własności</w:t>
      </w:r>
      <w:r w:rsidR="00FB659B" w:rsidRPr="00DE500E">
        <w:rPr>
          <w:rFonts w:ascii="Calibri" w:hAnsi="Calibri" w:cs="Calibri"/>
          <w:sz w:val="24"/>
          <w:szCs w:val="24"/>
        </w:rPr>
        <w:t xml:space="preserve"> </w:t>
      </w:r>
      <w:r w:rsidRPr="00DE500E">
        <w:rPr>
          <w:rFonts w:ascii="Calibri" w:hAnsi="Calibri" w:cs="Calibri"/>
          <w:sz w:val="24"/>
          <w:szCs w:val="24"/>
        </w:rPr>
        <w:t>gospodarstw rolnych;</w:t>
      </w:r>
    </w:p>
    <w:p w:rsidR="00785B5A" w:rsidRPr="00DE500E" w:rsidRDefault="00785B5A" w:rsidP="00DE500E">
      <w:pPr>
        <w:pStyle w:val="Teksttreci60"/>
        <w:numPr>
          <w:ilvl w:val="0"/>
          <w:numId w:val="36"/>
        </w:numPr>
        <w:spacing w:line="312" w:lineRule="auto"/>
        <w:ind w:left="714" w:hanging="357"/>
        <w:jc w:val="both"/>
        <w:rPr>
          <w:rFonts w:ascii="Calibri" w:hAnsi="Calibri" w:cs="Calibri"/>
          <w:sz w:val="24"/>
          <w:szCs w:val="24"/>
        </w:rPr>
      </w:pPr>
      <w:r w:rsidRPr="00DE500E">
        <w:rPr>
          <w:rFonts w:ascii="Calibri" w:hAnsi="Calibri" w:cs="Calibri"/>
          <w:sz w:val="24"/>
          <w:szCs w:val="24"/>
        </w:rPr>
        <w:t>rozgraniczenie nieruchomości;</w:t>
      </w:r>
    </w:p>
    <w:p w:rsidR="00785B5A" w:rsidRPr="00DE500E" w:rsidRDefault="00785B5A" w:rsidP="00DE500E">
      <w:pPr>
        <w:pStyle w:val="Teksttreci60"/>
        <w:numPr>
          <w:ilvl w:val="0"/>
          <w:numId w:val="36"/>
        </w:numPr>
        <w:spacing w:line="312" w:lineRule="auto"/>
        <w:ind w:left="714" w:hanging="357"/>
        <w:jc w:val="both"/>
        <w:rPr>
          <w:rFonts w:ascii="Calibri" w:hAnsi="Calibri" w:cs="Calibri"/>
          <w:sz w:val="24"/>
          <w:szCs w:val="24"/>
        </w:rPr>
      </w:pPr>
      <w:r w:rsidRPr="00DE500E">
        <w:rPr>
          <w:rFonts w:ascii="Calibri" w:hAnsi="Calibri" w:cs="Calibri"/>
          <w:sz w:val="24"/>
          <w:szCs w:val="24"/>
        </w:rPr>
        <w:t>współwłasność (uprawnienia i obowiązki współwłaścicieli; podział quoad usum; zarząd</w:t>
      </w:r>
      <w:r w:rsidR="007E7F45" w:rsidRPr="00DE500E">
        <w:rPr>
          <w:rFonts w:ascii="Calibri" w:hAnsi="Calibri" w:cs="Calibri"/>
          <w:sz w:val="24"/>
          <w:szCs w:val="24"/>
        </w:rPr>
        <w:t xml:space="preserve"> </w:t>
      </w:r>
      <w:r w:rsidRPr="00DE500E">
        <w:rPr>
          <w:rFonts w:ascii="Calibri" w:hAnsi="Calibri" w:cs="Calibri"/>
          <w:sz w:val="24"/>
          <w:szCs w:val="24"/>
        </w:rPr>
        <w:t>rzeczą wspólną, rozróżnienie czynności zwykłego zarządu i czynności przekraczających</w:t>
      </w:r>
      <w:r w:rsidR="00FB659B" w:rsidRPr="00DE500E">
        <w:rPr>
          <w:rFonts w:ascii="Calibri" w:hAnsi="Calibri" w:cs="Calibri"/>
          <w:sz w:val="24"/>
          <w:szCs w:val="24"/>
        </w:rPr>
        <w:t xml:space="preserve"> </w:t>
      </w:r>
      <w:r w:rsidRPr="00DE500E">
        <w:rPr>
          <w:rFonts w:ascii="Calibri" w:hAnsi="Calibri" w:cs="Calibri"/>
          <w:sz w:val="24"/>
          <w:szCs w:val="24"/>
        </w:rPr>
        <w:t>zakres zwykłego zarządu; wyznaczenie zarządcy przez sąd - art. 203 k.c.);</w:t>
      </w:r>
    </w:p>
    <w:p w:rsidR="00785B5A" w:rsidRPr="00DE500E" w:rsidRDefault="00785B5A" w:rsidP="00DE500E">
      <w:pPr>
        <w:pStyle w:val="Teksttreci60"/>
        <w:numPr>
          <w:ilvl w:val="0"/>
          <w:numId w:val="36"/>
        </w:numPr>
        <w:spacing w:after="120" w:line="312" w:lineRule="auto"/>
        <w:ind w:left="714" w:hanging="357"/>
        <w:jc w:val="both"/>
        <w:rPr>
          <w:rFonts w:ascii="Calibri" w:hAnsi="Calibri" w:cs="Calibri"/>
          <w:sz w:val="24"/>
          <w:szCs w:val="24"/>
        </w:rPr>
      </w:pPr>
      <w:r w:rsidRPr="00DE500E">
        <w:rPr>
          <w:rFonts w:ascii="Calibri" w:hAnsi="Calibri" w:cs="Calibri"/>
          <w:sz w:val="24"/>
          <w:szCs w:val="24"/>
        </w:rPr>
        <w:t>służebności i inne ograniczone prawa rzeczowe, w tym w szczególności służebność drogi</w:t>
      </w:r>
      <w:r w:rsidR="007E7F45" w:rsidRPr="00DE500E">
        <w:rPr>
          <w:rFonts w:ascii="Calibri" w:hAnsi="Calibri" w:cs="Calibri"/>
          <w:sz w:val="24"/>
          <w:szCs w:val="24"/>
        </w:rPr>
        <w:t xml:space="preserve"> </w:t>
      </w:r>
      <w:r w:rsidRPr="00DE500E">
        <w:rPr>
          <w:rFonts w:ascii="Calibri" w:hAnsi="Calibri" w:cs="Calibri"/>
          <w:sz w:val="24"/>
          <w:szCs w:val="24"/>
        </w:rPr>
        <w:t>koniecznej i służebność przesyłu, zasiedzenie służebności.</w:t>
      </w:r>
    </w:p>
    <w:p w:rsidR="000F44A7" w:rsidRPr="00DE500E" w:rsidRDefault="00785B5A" w:rsidP="00DE500E">
      <w:pPr>
        <w:pStyle w:val="Teksttreci60"/>
        <w:spacing w:after="120" w:line="312" w:lineRule="auto"/>
        <w:ind w:firstLine="709"/>
        <w:jc w:val="both"/>
        <w:rPr>
          <w:rFonts w:ascii="Calibri" w:hAnsi="Calibri" w:cs="Calibri"/>
          <w:sz w:val="24"/>
          <w:szCs w:val="24"/>
        </w:rPr>
      </w:pPr>
      <w:r w:rsidRPr="00DE500E">
        <w:rPr>
          <w:rFonts w:ascii="Calibri" w:hAnsi="Calibri" w:cs="Calibri"/>
          <w:sz w:val="24"/>
          <w:szCs w:val="24"/>
        </w:rPr>
        <w:t>Nadto patron praktyki oraz patron koordynator powinni zapewnić, aby w toku praktyki</w:t>
      </w:r>
      <w:r w:rsidR="00D63BBA" w:rsidRPr="00DE500E">
        <w:rPr>
          <w:rFonts w:ascii="Calibri" w:hAnsi="Calibri" w:cs="Calibri"/>
          <w:sz w:val="24"/>
          <w:szCs w:val="24"/>
        </w:rPr>
        <w:t xml:space="preserve"> </w:t>
      </w:r>
      <w:r w:rsidRPr="00DE500E">
        <w:rPr>
          <w:rFonts w:ascii="Calibri" w:hAnsi="Calibri" w:cs="Calibri"/>
          <w:sz w:val="24"/>
          <w:szCs w:val="24"/>
        </w:rPr>
        <w:t>aplikanci zapoznali się z istotą postępowania nieprocesowego, a przede wszystkim</w:t>
      </w:r>
      <w:r w:rsidR="00D63BBA" w:rsidRPr="00DE500E">
        <w:rPr>
          <w:rFonts w:ascii="Calibri" w:hAnsi="Calibri" w:cs="Calibri"/>
          <w:sz w:val="24"/>
          <w:szCs w:val="24"/>
        </w:rPr>
        <w:t xml:space="preserve"> </w:t>
      </w:r>
      <w:r w:rsidRPr="00DE500E">
        <w:rPr>
          <w:rFonts w:ascii="Calibri" w:hAnsi="Calibri" w:cs="Calibri"/>
          <w:sz w:val="24"/>
          <w:szCs w:val="24"/>
        </w:rPr>
        <w:t>z</w:t>
      </w:r>
      <w:r w:rsidR="00FB659B" w:rsidRPr="00DE500E">
        <w:rPr>
          <w:rFonts w:ascii="Calibri" w:hAnsi="Calibri" w:cs="Calibri"/>
          <w:sz w:val="24"/>
          <w:szCs w:val="24"/>
        </w:rPr>
        <w:t> </w:t>
      </w:r>
      <w:r w:rsidRPr="00DE500E">
        <w:rPr>
          <w:rFonts w:ascii="Calibri" w:hAnsi="Calibri" w:cs="Calibri"/>
          <w:sz w:val="24"/>
          <w:szCs w:val="24"/>
        </w:rPr>
        <w:t>odrębnościami tego postępowania w stosunku do procesu. Koniecznym jest zatem</w:t>
      </w:r>
      <w:r w:rsidR="00D63BBA" w:rsidRPr="00DE500E">
        <w:rPr>
          <w:rFonts w:ascii="Calibri" w:hAnsi="Calibri" w:cs="Calibri"/>
          <w:sz w:val="24"/>
          <w:szCs w:val="24"/>
        </w:rPr>
        <w:t xml:space="preserve"> </w:t>
      </w:r>
      <w:r w:rsidRPr="00DE500E">
        <w:rPr>
          <w:rFonts w:ascii="Calibri" w:hAnsi="Calibri" w:cs="Calibri"/>
          <w:sz w:val="24"/>
          <w:szCs w:val="24"/>
        </w:rPr>
        <w:t>zaznajomienie aplikantów ze</w:t>
      </w:r>
      <w:r w:rsidR="00FB659B" w:rsidRPr="00DE500E">
        <w:rPr>
          <w:rFonts w:ascii="Calibri" w:hAnsi="Calibri" w:cs="Calibri"/>
          <w:sz w:val="24"/>
          <w:szCs w:val="24"/>
        </w:rPr>
        <w:t xml:space="preserve"> </w:t>
      </w:r>
      <w:r w:rsidRPr="00DE500E">
        <w:rPr>
          <w:rFonts w:ascii="Calibri" w:hAnsi="Calibri" w:cs="Calibri"/>
          <w:sz w:val="24"/>
          <w:szCs w:val="24"/>
        </w:rPr>
        <w:t>specyfiką postępowania nieprocesowego na przykładach</w:t>
      </w:r>
      <w:r w:rsidR="00DD56AE" w:rsidRPr="00DE500E">
        <w:rPr>
          <w:rFonts w:ascii="Calibri" w:hAnsi="Calibri" w:cs="Calibri"/>
          <w:sz w:val="24"/>
          <w:szCs w:val="24"/>
        </w:rPr>
        <w:t xml:space="preserve"> </w:t>
      </w:r>
      <w:r w:rsidRPr="00DE500E">
        <w:rPr>
          <w:rFonts w:ascii="Calibri" w:hAnsi="Calibri" w:cs="Calibri"/>
          <w:sz w:val="24"/>
          <w:szCs w:val="24"/>
        </w:rPr>
        <w:t>najczęściej spotykanych spraw z</w:t>
      </w:r>
      <w:r w:rsidR="00FB659B" w:rsidRPr="00DE500E">
        <w:rPr>
          <w:rFonts w:ascii="Calibri" w:hAnsi="Calibri" w:cs="Calibri"/>
          <w:sz w:val="24"/>
          <w:szCs w:val="24"/>
        </w:rPr>
        <w:t xml:space="preserve"> </w:t>
      </w:r>
      <w:r w:rsidRPr="00DE500E">
        <w:rPr>
          <w:rFonts w:ascii="Calibri" w:hAnsi="Calibri" w:cs="Calibri"/>
          <w:sz w:val="24"/>
          <w:szCs w:val="24"/>
        </w:rPr>
        <w:t xml:space="preserve">zakresu prawa rzeczowego. </w:t>
      </w:r>
    </w:p>
    <w:p w:rsidR="00785B5A" w:rsidRPr="00DE500E" w:rsidRDefault="00785B5A" w:rsidP="00DE500E">
      <w:pPr>
        <w:pStyle w:val="Teksttreci60"/>
        <w:spacing w:line="312" w:lineRule="auto"/>
        <w:ind w:firstLine="709"/>
        <w:jc w:val="both"/>
        <w:rPr>
          <w:rFonts w:ascii="Calibri" w:hAnsi="Calibri" w:cs="Calibri"/>
          <w:sz w:val="24"/>
          <w:szCs w:val="24"/>
        </w:rPr>
      </w:pPr>
      <w:r w:rsidRPr="00DE500E">
        <w:rPr>
          <w:rFonts w:ascii="Calibri" w:hAnsi="Calibri" w:cs="Calibri"/>
          <w:sz w:val="24"/>
          <w:szCs w:val="24"/>
        </w:rPr>
        <w:t>Wśród zagadnień z tego zakresu</w:t>
      </w:r>
      <w:r w:rsidR="000F44A7" w:rsidRPr="00DE500E">
        <w:rPr>
          <w:rFonts w:ascii="Calibri" w:hAnsi="Calibri" w:cs="Calibri"/>
          <w:sz w:val="24"/>
          <w:szCs w:val="24"/>
        </w:rPr>
        <w:t xml:space="preserve"> </w:t>
      </w:r>
      <w:r w:rsidR="000F44A7" w:rsidRPr="00DE500E">
        <w:rPr>
          <w:rFonts w:ascii="Calibri" w:hAnsi="Calibri" w:cs="Calibri"/>
          <w:b/>
          <w:sz w:val="24"/>
          <w:szCs w:val="24"/>
        </w:rPr>
        <w:t>prawa procesowego</w:t>
      </w:r>
      <w:r w:rsidR="000F44A7" w:rsidRPr="00DE500E">
        <w:rPr>
          <w:rFonts w:ascii="Calibri" w:hAnsi="Calibri" w:cs="Calibri"/>
          <w:sz w:val="24"/>
          <w:szCs w:val="24"/>
        </w:rPr>
        <w:t xml:space="preserve"> </w:t>
      </w:r>
      <w:r w:rsidRPr="00DE500E">
        <w:rPr>
          <w:rFonts w:ascii="Calibri" w:hAnsi="Calibri" w:cs="Calibri"/>
          <w:sz w:val="24"/>
          <w:szCs w:val="24"/>
        </w:rPr>
        <w:t>należy zwrócić uwagę zwłaszcza na</w:t>
      </w:r>
      <w:r w:rsidR="007E7F45" w:rsidRPr="00DE500E">
        <w:rPr>
          <w:rFonts w:ascii="Calibri" w:hAnsi="Calibri" w:cs="Calibri"/>
          <w:sz w:val="24"/>
          <w:szCs w:val="24"/>
        </w:rPr>
        <w:t> </w:t>
      </w:r>
      <w:r w:rsidRPr="00DE500E">
        <w:rPr>
          <w:rFonts w:ascii="Calibri" w:hAnsi="Calibri" w:cs="Calibri"/>
          <w:sz w:val="24"/>
          <w:szCs w:val="24"/>
        </w:rPr>
        <w:t>kwestie takie, jak:</w:t>
      </w:r>
    </w:p>
    <w:p w:rsidR="00785B5A" w:rsidRPr="00DE500E" w:rsidRDefault="00785B5A" w:rsidP="00DE500E">
      <w:pPr>
        <w:pStyle w:val="Teksttreci60"/>
        <w:numPr>
          <w:ilvl w:val="0"/>
          <w:numId w:val="38"/>
        </w:numPr>
        <w:spacing w:line="312" w:lineRule="auto"/>
        <w:ind w:left="714" w:hanging="357"/>
        <w:jc w:val="both"/>
        <w:rPr>
          <w:rFonts w:ascii="Calibri" w:hAnsi="Calibri" w:cs="Calibri"/>
          <w:sz w:val="24"/>
          <w:szCs w:val="24"/>
        </w:rPr>
      </w:pPr>
      <w:r w:rsidRPr="00DE500E">
        <w:rPr>
          <w:rFonts w:ascii="Calibri" w:hAnsi="Calibri" w:cs="Calibri"/>
          <w:sz w:val="24"/>
          <w:szCs w:val="24"/>
        </w:rPr>
        <w:t>wymogi formalne wniosku o wszczęcie postępowania nieprocesowego;</w:t>
      </w:r>
    </w:p>
    <w:p w:rsidR="00785B5A" w:rsidRPr="00DE500E" w:rsidRDefault="00785B5A" w:rsidP="00DE500E">
      <w:pPr>
        <w:pStyle w:val="Teksttreci60"/>
        <w:numPr>
          <w:ilvl w:val="0"/>
          <w:numId w:val="38"/>
        </w:numPr>
        <w:spacing w:line="312" w:lineRule="auto"/>
        <w:ind w:left="714" w:hanging="357"/>
        <w:jc w:val="both"/>
        <w:rPr>
          <w:rFonts w:ascii="Calibri" w:hAnsi="Calibri" w:cs="Calibri"/>
          <w:sz w:val="24"/>
          <w:szCs w:val="24"/>
        </w:rPr>
      </w:pPr>
      <w:r w:rsidRPr="00DE500E">
        <w:rPr>
          <w:rFonts w:ascii="Calibri" w:hAnsi="Calibri" w:cs="Calibri"/>
          <w:sz w:val="24"/>
          <w:szCs w:val="24"/>
        </w:rPr>
        <w:t>właściwość miejscowa sądu; uczestnicy postępowania nieprocesowego, pojęcie</w:t>
      </w:r>
      <w:r w:rsidR="000F44A7" w:rsidRPr="00DE500E">
        <w:rPr>
          <w:rFonts w:ascii="Calibri" w:hAnsi="Calibri" w:cs="Calibri"/>
          <w:sz w:val="24"/>
          <w:szCs w:val="24"/>
        </w:rPr>
        <w:t xml:space="preserve"> </w:t>
      </w:r>
      <w:r w:rsidRPr="00DE500E">
        <w:rPr>
          <w:rFonts w:ascii="Calibri" w:hAnsi="Calibri" w:cs="Calibri"/>
          <w:sz w:val="24"/>
          <w:szCs w:val="24"/>
        </w:rPr>
        <w:t>„zainteresowanego” (art. 510 § 1 k.p.c.);</w:t>
      </w:r>
    </w:p>
    <w:p w:rsidR="00785B5A" w:rsidRPr="00DE500E" w:rsidRDefault="00785B5A" w:rsidP="00DE500E">
      <w:pPr>
        <w:pStyle w:val="Teksttreci60"/>
        <w:numPr>
          <w:ilvl w:val="0"/>
          <w:numId w:val="38"/>
        </w:numPr>
        <w:spacing w:line="312" w:lineRule="auto"/>
        <w:ind w:left="714" w:hanging="357"/>
        <w:jc w:val="both"/>
        <w:rPr>
          <w:rFonts w:ascii="Calibri" w:hAnsi="Calibri" w:cs="Calibri"/>
          <w:sz w:val="24"/>
          <w:szCs w:val="24"/>
        </w:rPr>
      </w:pPr>
      <w:r w:rsidRPr="00DE500E">
        <w:rPr>
          <w:rFonts w:ascii="Calibri" w:hAnsi="Calibri" w:cs="Calibri"/>
          <w:sz w:val="24"/>
          <w:szCs w:val="24"/>
        </w:rPr>
        <w:t>czynności sądu podejmowane z urzędu (np. wezwanie zainteresowanego do udziału</w:t>
      </w:r>
      <w:r w:rsidR="000F44A7" w:rsidRPr="00DE500E">
        <w:rPr>
          <w:rFonts w:ascii="Calibri" w:hAnsi="Calibri" w:cs="Calibri"/>
          <w:sz w:val="24"/>
          <w:szCs w:val="24"/>
        </w:rPr>
        <w:t xml:space="preserve"> </w:t>
      </w:r>
      <w:r w:rsidRPr="00DE500E">
        <w:rPr>
          <w:rFonts w:ascii="Calibri" w:hAnsi="Calibri" w:cs="Calibri"/>
          <w:sz w:val="24"/>
          <w:szCs w:val="24"/>
        </w:rPr>
        <w:t>w</w:t>
      </w:r>
      <w:r w:rsidR="00FB659B" w:rsidRPr="00DE500E">
        <w:rPr>
          <w:rFonts w:ascii="Calibri" w:hAnsi="Calibri" w:cs="Calibri"/>
          <w:sz w:val="24"/>
          <w:szCs w:val="24"/>
        </w:rPr>
        <w:t> </w:t>
      </w:r>
      <w:r w:rsidRPr="00DE500E">
        <w:rPr>
          <w:rFonts w:ascii="Calibri" w:hAnsi="Calibri" w:cs="Calibri"/>
          <w:sz w:val="24"/>
          <w:szCs w:val="24"/>
        </w:rPr>
        <w:t>sprawie, a w razie potrzeby ustanowienie dla niego kuratora – art. 510 § 2 k.p.c.);</w:t>
      </w:r>
    </w:p>
    <w:p w:rsidR="00785B5A" w:rsidRPr="00DE500E" w:rsidRDefault="00785B5A" w:rsidP="00DE500E">
      <w:pPr>
        <w:pStyle w:val="Teksttreci60"/>
        <w:numPr>
          <w:ilvl w:val="0"/>
          <w:numId w:val="38"/>
        </w:numPr>
        <w:spacing w:line="312" w:lineRule="auto"/>
        <w:ind w:left="714" w:hanging="357"/>
        <w:jc w:val="both"/>
        <w:rPr>
          <w:rFonts w:ascii="Calibri" w:hAnsi="Calibri" w:cs="Calibri"/>
          <w:sz w:val="24"/>
          <w:szCs w:val="24"/>
        </w:rPr>
      </w:pPr>
      <w:r w:rsidRPr="00DE500E">
        <w:rPr>
          <w:rFonts w:ascii="Calibri" w:hAnsi="Calibri" w:cs="Calibri"/>
          <w:sz w:val="24"/>
          <w:szCs w:val="24"/>
        </w:rPr>
        <w:t>możliwość wezwania zainteresowanych do udziału w sprawie przez ogłoszenie;</w:t>
      </w:r>
    </w:p>
    <w:p w:rsidR="00785B5A" w:rsidRPr="00DE500E" w:rsidRDefault="00785B5A" w:rsidP="00DE500E">
      <w:pPr>
        <w:pStyle w:val="Teksttreci60"/>
        <w:numPr>
          <w:ilvl w:val="0"/>
          <w:numId w:val="38"/>
        </w:numPr>
        <w:spacing w:line="312" w:lineRule="auto"/>
        <w:ind w:left="714" w:hanging="357"/>
        <w:jc w:val="both"/>
        <w:rPr>
          <w:rFonts w:ascii="Calibri" w:hAnsi="Calibri" w:cs="Calibri"/>
          <w:sz w:val="24"/>
          <w:szCs w:val="24"/>
        </w:rPr>
      </w:pPr>
      <w:r w:rsidRPr="00DE500E">
        <w:rPr>
          <w:rFonts w:ascii="Calibri" w:hAnsi="Calibri" w:cs="Calibri"/>
          <w:sz w:val="24"/>
          <w:szCs w:val="24"/>
        </w:rPr>
        <w:lastRenderedPageBreak/>
        <w:t>rozprawa a posiedzenie jawne niebędące rozprawą, możliwość oddalenia wniosku na</w:t>
      </w:r>
      <w:r w:rsidR="007E7F45" w:rsidRPr="00DE500E">
        <w:rPr>
          <w:rFonts w:ascii="Calibri" w:hAnsi="Calibri" w:cs="Calibri"/>
          <w:sz w:val="24"/>
          <w:szCs w:val="24"/>
        </w:rPr>
        <w:t> </w:t>
      </w:r>
      <w:r w:rsidRPr="00DE500E">
        <w:rPr>
          <w:rFonts w:ascii="Calibri" w:hAnsi="Calibri" w:cs="Calibri"/>
          <w:sz w:val="24"/>
          <w:szCs w:val="24"/>
        </w:rPr>
        <w:t>posiedzeniu niejawnym (art. 514 § 2 k.p.c.);</w:t>
      </w:r>
    </w:p>
    <w:p w:rsidR="00785B5A" w:rsidRPr="00DE500E" w:rsidRDefault="00785B5A" w:rsidP="00DE500E">
      <w:pPr>
        <w:pStyle w:val="Teksttreci60"/>
        <w:numPr>
          <w:ilvl w:val="0"/>
          <w:numId w:val="38"/>
        </w:numPr>
        <w:tabs>
          <w:tab w:val="right" w:pos="9298"/>
        </w:tabs>
        <w:spacing w:line="312" w:lineRule="auto"/>
        <w:ind w:left="714" w:hanging="357"/>
        <w:jc w:val="both"/>
        <w:rPr>
          <w:rFonts w:ascii="Calibri" w:hAnsi="Calibri" w:cs="Calibri"/>
          <w:sz w:val="24"/>
          <w:szCs w:val="24"/>
        </w:rPr>
      </w:pPr>
      <w:r w:rsidRPr="00DE500E">
        <w:rPr>
          <w:rFonts w:ascii="Calibri" w:hAnsi="Calibri" w:cs="Calibri"/>
          <w:sz w:val="24"/>
          <w:szCs w:val="24"/>
        </w:rPr>
        <w:t>rodzaje orzeczeń co do istoty sprawy, postanowienie wstępne, postanowienie częściowe,</w:t>
      </w:r>
      <w:r w:rsidR="007E7F45" w:rsidRPr="00DE500E">
        <w:rPr>
          <w:rFonts w:ascii="Calibri" w:hAnsi="Calibri" w:cs="Calibri"/>
          <w:sz w:val="24"/>
          <w:szCs w:val="24"/>
        </w:rPr>
        <w:t xml:space="preserve"> </w:t>
      </w:r>
      <w:r w:rsidRPr="00DE500E">
        <w:rPr>
          <w:rFonts w:ascii="Calibri" w:hAnsi="Calibri" w:cs="Calibri"/>
          <w:sz w:val="24"/>
          <w:szCs w:val="24"/>
        </w:rPr>
        <w:t>postanowienie uzupełniające; koszty postępowania nieprocesowego;</w:t>
      </w:r>
    </w:p>
    <w:p w:rsidR="00785B5A" w:rsidRPr="00DE500E" w:rsidRDefault="00785B5A" w:rsidP="00DE500E">
      <w:pPr>
        <w:pStyle w:val="Teksttreci60"/>
        <w:numPr>
          <w:ilvl w:val="0"/>
          <w:numId w:val="38"/>
        </w:numPr>
        <w:spacing w:after="120" w:line="312" w:lineRule="auto"/>
        <w:ind w:left="714" w:hanging="357"/>
        <w:jc w:val="both"/>
        <w:rPr>
          <w:rFonts w:ascii="Calibri" w:hAnsi="Calibri" w:cs="Calibri"/>
          <w:sz w:val="24"/>
          <w:szCs w:val="24"/>
        </w:rPr>
      </w:pPr>
      <w:r w:rsidRPr="00DE500E">
        <w:rPr>
          <w:rFonts w:ascii="Calibri" w:hAnsi="Calibri" w:cs="Calibri"/>
          <w:sz w:val="24"/>
          <w:szCs w:val="24"/>
        </w:rPr>
        <w:t>wznowienie postępowania nieprocesowego.</w:t>
      </w:r>
    </w:p>
    <w:p w:rsidR="00785B5A" w:rsidRPr="00DE500E" w:rsidRDefault="00785B5A" w:rsidP="00DE500E">
      <w:pPr>
        <w:pStyle w:val="Teksttreci60"/>
        <w:spacing w:after="120" w:line="312" w:lineRule="auto"/>
        <w:ind w:firstLine="709"/>
        <w:jc w:val="both"/>
        <w:rPr>
          <w:rFonts w:ascii="Calibri" w:hAnsi="Calibri" w:cs="Calibri"/>
          <w:sz w:val="24"/>
          <w:szCs w:val="24"/>
        </w:rPr>
      </w:pPr>
      <w:r w:rsidRPr="00DE500E">
        <w:rPr>
          <w:rFonts w:ascii="Calibri" w:hAnsi="Calibri" w:cs="Calibri"/>
          <w:sz w:val="24"/>
          <w:szCs w:val="24"/>
        </w:rPr>
        <w:t>Szczególną uwagę należy poświęcić zagadnieniom procesowych i technicznych</w:t>
      </w:r>
      <w:r w:rsidR="000F44A7" w:rsidRPr="00DE500E">
        <w:rPr>
          <w:rFonts w:ascii="Calibri" w:hAnsi="Calibri" w:cs="Calibri"/>
          <w:sz w:val="24"/>
          <w:szCs w:val="24"/>
        </w:rPr>
        <w:t xml:space="preserve"> </w:t>
      </w:r>
      <w:r w:rsidRPr="00DE500E">
        <w:rPr>
          <w:rFonts w:ascii="Calibri" w:hAnsi="Calibri" w:cs="Calibri"/>
          <w:sz w:val="24"/>
          <w:szCs w:val="24"/>
        </w:rPr>
        <w:t>aspektów postępowania dowodowego, z uwzględnieniem sposobu redagowania</w:t>
      </w:r>
      <w:r w:rsidR="000F44A7" w:rsidRPr="00DE500E">
        <w:rPr>
          <w:rFonts w:ascii="Calibri" w:hAnsi="Calibri" w:cs="Calibri"/>
          <w:sz w:val="24"/>
          <w:szCs w:val="24"/>
        </w:rPr>
        <w:t xml:space="preserve"> </w:t>
      </w:r>
      <w:r w:rsidRPr="00DE500E">
        <w:rPr>
          <w:rFonts w:ascii="Calibri" w:hAnsi="Calibri" w:cs="Calibri"/>
          <w:sz w:val="24"/>
          <w:szCs w:val="24"/>
        </w:rPr>
        <w:t>postanowień dowodowych dopuszczających dowód z opinii biegłych różnych specjalności</w:t>
      </w:r>
      <w:r w:rsidR="000F44A7" w:rsidRPr="00DE500E">
        <w:rPr>
          <w:rFonts w:ascii="Calibri" w:hAnsi="Calibri" w:cs="Calibri"/>
          <w:sz w:val="24"/>
          <w:szCs w:val="24"/>
        </w:rPr>
        <w:t xml:space="preserve"> </w:t>
      </w:r>
      <w:r w:rsidRPr="00DE500E">
        <w:rPr>
          <w:rFonts w:ascii="Calibri" w:hAnsi="Calibri" w:cs="Calibri"/>
          <w:sz w:val="24"/>
          <w:szCs w:val="24"/>
        </w:rPr>
        <w:t>w sprawach z</w:t>
      </w:r>
      <w:r w:rsidR="005874DC">
        <w:rPr>
          <w:rFonts w:ascii="Calibri" w:hAnsi="Calibri" w:cs="Calibri"/>
          <w:sz w:val="24"/>
          <w:szCs w:val="24"/>
        </w:rPr>
        <w:t> </w:t>
      </w:r>
      <w:r w:rsidRPr="00DE500E">
        <w:rPr>
          <w:rFonts w:ascii="Calibri" w:hAnsi="Calibri" w:cs="Calibri"/>
          <w:sz w:val="24"/>
          <w:szCs w:val="24"/>
        </w:rPr>
        <w:t>zakresu prawa rzeczowego oraz redagowania orzeczeń w sprawach, w których</w:t>
      </w:r>
      <w:r w:rsidR="000F44A7" w:rsidRPr="00DE500E">
        <w:rPr>
          <w:rFonts w:ascii="Calibri" w:hAnsi="Calibri" w:cs="Calibri"/>
          <w:sz w:val="24"/>
          <w:szCs w:val="24"/>
        </w:rPr>
        <w:t xml:space="preserve"> </w:t>
      </w:r>
      <w:r w:rsidRPr="00DE500E">
        <w:rPr>
          <w:rFonts w:ascii="Calibri" w:hAnsi="Calibri" w:cs="Calibri"/>
          <w:sz w:val="24"/>
          <w:szCs w:val="24"/>
        </w:rPr>
        <w:t>integralną część orzeczenia stanowią opinie biegłych.</w:t>
      </w:r>
    </w:p>
    <w:p w:rsidR="00785B5A" w:rsidRPr="00DE500E" w:rsidRDefault="00785B5A" w:rsidP="00DE500E">
      <w:pPr>
        <w:pStyle w:val="Teksttreci60"/>
        <w:spacing w:after="120" w:line="312" w:lineRule="auto"/>
        <w:ind w:firstLine="709"/>
        <w:jc w:val="both"/>
        <w:rPr>
          <w:rFonts w:ascii="Calibri" w:hAnsi="Calibri" w:cs="Calibri"/>
          <w:sz w:val="24"/>
          <w:szCs w:val="24"/>
        </w:rPr>
      </w:pPr>
      <w:r w:rsidRPr="00DE500E">
        <w:rPr>
          <w:rFonts w:ascii="Calibri" w:hAnsi="Calibri" w:cs="Calibri"/>
          <w:sz w:val="24"/>
          <w:szCs w:val="24"/>
        </w:rPr>
        <w:t>Należy też omówić zagadnienia związane z przeprowadzeniem dowodu z oględzin</w:t>
      </w:r>
      <w:r w:rsidR="000F44A7" w:rsidRPr="00DE500E">
        <w:rPr>
          <w:rFonts w:ascii="Calibri" w:hAnsi="Calibri" w:cs="Calibri"/>
          <w:sz w:val="24"/>
          <w:szCs w:val="24"/>
        </w:rPr>
        <w:t xml:space="preserve"> </w:t>
      </w:r>
      <w:r w:rsidRPr="00DE500E">
        <w:rPr>
          <w:rFonts w:ascii="Calibri" w:hAnsi="Calibri" w:cs="Calibri"/>
          <w:sz w:val="24"/>
          <w:szCs w:val="24"/>
        </w:rPr>
        <w:t>nieruchomości (np. w sprawach o ustanowienie drogi koniecznej, o rozgraniczenie),</w:t>
      </w:r>
      <w:r w:rsidR="000F44A7" w:rsidRPr="00DE500E">
        <w:rPr>
          <w:rFonts w:ascii="Calibri" w:hAnsi="Calibri" w:cs="Calibri"/>
          <w:sz w:val="24"/>
          <w:szCs w:val="24"/>
        </w:rPr>
        <w:t xml:space="preserve"> </w:t>
      </w:r>
      <w:r w:rsidRPr="00DE500E">
        <w:rPr>
          <w:rFonts w:ascii="Calibri" w:hAnsi="Calibri" w:cs="Calibri"/>
          <w:sz w:val="24"/>
          <w:szCs w:val="24"/>
        </w:rPr>
        <w:t>ze</w:t>
      </w:r>
      <w:r w:rsidR="007E7F45" w:rsidRPr="00DE500E">
        <w:rPr>
          <w:rFonts w:ascii="Calibri" w:hAnsi="Calibri" w:cs="Calibri"/>
          <w:sz w:val="24"/>
          <w:szCs w:val="24"/>
        </w:rPr>
        <w:t> </w:t>
      </w:r>
      <w:r w:rsidRPr="00DE500E">
        <w:rPr>
          <w:rFonts w:ascii="Calibri" w:hAnsi="Calibri" w:cs="Calibri"/>
          <w:sz w:val="24"/>
          <w:szCs w:val="24"/>
        </w:rPr>
        <w:t>sporządzeniem protokołu z tej czynności wraz z załącznikiem graficznym (ewentualnie także</w:t>
      </w:r>
      <w:r w:rsidR="000F44A7" w:rsidRPr="00DE500E">
        <w:rPr>
          <w:rFonts w:ascii="Calibri" w:hAnsi="Calibri" w:cs="Calibri"/>
          <w:sz w:val="24"/>
          <w:szCs w:val="24"/>
        </w:rPr>
        <w:t xml:space="preserve"> </w:t>
      </w:r>
      <w:r w:rsidRPr="00DE500E">
        <w:rPr>
          <w:rFonts w:ascii="Calibri" w:hAnsi="Calibri" w:cs="Calibri"/>
          <w:sz w:val="24"/>
          <w:szCs w:val="24"/>
        </w:rPr>
        <w:t>dokumentacją fotograficzną).</w:t>
      </w:r>
    </w:p>
    <w:p w:rsidR="00785B5A" w:rsidRPr="00DE500E" w:rsidRDefault="00785B5A" w:rsidP="00DE500E">
      <w:pPr>
        <w:pStyle w:val="Teksttreci60"/>
        <w:spacing w:after="120" w:line="312" w:lineRule="auto"/>
        <w:ind w:firstLine="709"/>
        <w:jc w:val="both"/>
        <w:rPr>
          <w:rFonts w:ascii="Calibri" w:hAnsi="Calibri" w:cs="Calibri"/>
          <w:sz w:val="24"/>
          <w:szCs w:val="24"/>
        </w:rPr>
      </w:pPr>
      <w:r w:rsidRPr="00DE500E">
        <w:rPr>
          <w:rFonts w:ascii="Calibri" w:hAnsi="Calibri" w:cs="Calibri"/>
          <w:sz w:val="24"/>
          <w:szCs w:val="24"/>
        </w:rPr>
        <w:t>Celowym jest także zaznajomienie aplikantów z odczytywaniem map geodezyjnych,</w:t>
      </w:r>
      <w:r w:rsidR="000F44A7" w:rsidRPr="00DE500E">
        <w:rPr>
          <w:rFonts w:ascii="Calibri" w:hAnsi="Calibri" w:cs="Calibri"/>
          <w:sz w:val="24"/>
          <w:szCs w:val="24"/>
        </w:rPr>
        <w:t xml:space="preserve"> </w:t>
      </w:r>
      <w:r w:rsidRPr="00DE500E">
        <w:rPr>
          <w:rFonts w:ascii="Calibri" w:hAnsi="Calibri" w:cs="Calibri"/>
          <w:sz w:val="24"/>
          <w:szCs w:val="24"/>
        </w:rPr>
        <w:t>map sytuacyjno-wysokościowych oraz analizą odpisów z ksiąg wieczystych lub zbioru</w:t>
      </w:r>
      <w:r w:rsidR="000F44A7" w:rsidRPr="00DE500E">
        <w:rPr>
          <w:rFonts w:ascii="Calibri" w:hAnsi="Calibri" w:cs="Calibri"/>
          <w:sz w:val="24"/>
          <w:szCs w:val="24"/>
        </w:rPr>
        <w:t xml:space="preserve"> </w:t>
      </w:r>
      <w:r w:rsidRPr="00DE500E">
        <w:rPr>
          <w:rFonts w:ascii="Calibri" w:hAnsi="Calibri" w:cs="Calibri"/>
          <w:sz w:val="24"/>
          <w:szCs w:val="24"/>
        </w:rPr>
        <w:t>dokumentów.</w:t>
      </w:r>
    </w:p>
    <w:p w:rsidR="00785B5A" w:rsidRPr="00DE500E" w:rsidRDefault="00785B5A" w:rsidP="00DE500E">
      <w:pPr>
        <w:pStyle w:val="Teksttreci60"/>
        <w:spacing w:after="120" w:line="312" w:lineRule="auto"/>
        <w:ind w:firstLine="709"/>
        <w:jc w:val="both"/>
        <w:rPr>
          <w:rFonts w:ascii="Calibri" w:hAnsi="Calibri" w:cs="Calibri"/>
          <w:sz w:val="24"/>
          <w:szCs w:val="24"/>
        </w:rPr>
      </w:pPr>
      <w:r w:rsidRPr="00DE500E">
        <w:rPr>
          <w:rFonts w:ascii="Calibri" w:hAnsi="Calibri" w:cs="Calibri"/>
          <w:sz w:val="24"/>
          <w:szCs w:val="24"/>
        </w:rPr>
        <w:t>Przy pracy z aplikantami należy zwrócić uwagę na wszelkie techniczne aspekty</w:t>
      </w:r>
      <w:r w:rsidR="000F44A7" w:rsidRPr="00DE500E">
        <w:rPr>
          <w:rFonts w:ascii="Calibri" w:hAnsi="Calibri" w:cs="Calibri"/>
          <w:sz w:val="24"/>
          <w:szCs w:val="24"/>
        </w:rPr>
        <w:t xml:space="preserve"> </w:t>
      </w:r>
      <w:r w:rsidRPr="00DE500E">
        <w:rPr>
          <w:rFonts w:ascii="Calibri" w:hAnsi="Calibri" w:cs="Calibri"/>
          <w:sz w:val="24"/>
          <w:szCs w:val="24"/>
        </w:rPr>
        <w:t>przesłuchania świadków na gruncie.</w:t>
      </w:r>
    </w:p>
    <w:p w:rsidR="00785B5A" w:rsidRPr="00DE500E" w:rsidRDefault="00785B5A" w:rsidP="00DE500E">
      <w:pPr>
        <w:pStyle w:val="Teksttreci60"/>
        <w:spacing w:after="120" w:line="312" w:lineRule="auto"/>
        <w:ind w:firstLine="709"/>
        <w:jc w:val="both"/>
        <w:rPr>
          <w:rFonts w:ascii="Calibri" w:hAnsi="Calibri" w:cs="Calibri"/>
          <w:b/>
          <w:sz w:val="24"/>
          <w:szCs w:val="24"/>
          <w:u w:val="single"/>
        </w:rPr>
      </w:pPr>
      <w:r w:rsidRPr="00DE500E">
        <w:rPr>
          <w:rFonts w:ascii="Calibri" w:hAnsi="Calibri" w:cs="Calibri"/>
          <w:b/>
          <w:sz w:val="24"/>
          <w:szCs w:val="24"/>
          <w:u w:val="single"/>
        </w:rPr>
        <w:t>Czynności, które powinny zostać zlecone aplikantowi w trakcie praktyki (czynności</w:t>
      </w:r>
      <w:r w:rsidR="00FB659B" w:rsidRPr="00DE500E">
        <w:rPr>
          <w:rFonts w:ascii="Calibri" w:hAnsi="Calibri" w:cs="Calibri"/>
          <w:b/>
          <w:sz w:val="24"/>
          <w:szCs w:val="24"/>
          <w:u w:val="single"/>
        </w:rPr>
        <w:t xml:space="preserve"> </w:t>
      </w:r>
      <w:r w:rsidRPr="00DE500E">
        <w:rPr>
          <w:rFonts w:ascii="Calibri" w:hAnsi="Calibri" w:cs="Calibri"/>
          <w:b/>
          <w:sz w:val="24"/>
          <w:szCs w:val="24"/>
          <w:u w:val="single"/>
        </w:rPr>
        <w:t>obowiązkowe):</w:t>
      </w:r>
    </w:p>
    <w:p w:rsidR="00785B5A" w:rsidRPr="00DE500E" w:rsidRDefault="00785B5A" w:rsidP="00DE500E">
      <w:pPr>
        <w:pStyle w:val="Teksttreci60"/>
        <w:numPr>
          <w:ilvl w:val="0"/>
          <w:numId w:val="40"/>
        </w:numPr>
        <w:spacing w:line="312" w:lineRule="auto"/>
        <w:ind w:left="714" w:hanging="357"/>
        <w:jc w:val="both"/>
        <w:rPr>
          <w:rFonts w:ascii="Calibri" w:hAnsi="Calibri" w:cs="Calibri"/>
          <w:sz w:val="24"/>
          <w:szCs w:val="24"/>
        </w:rPr>
      </w:pPr>
      <w:r w:rsidRPr="00DE500E">
        <w:rPr>
          <w:rFonts w:ascii="Calibri" w:hAnsi="Calibri" w:cs="Calibri"/>
          <w:sz w:val="24"/>
          <w:szCs w:val="24"/>
        </w:rPr>
        <w:t>sporządzenie projektu orzeczenia końcowego wraz z uzasadnieniem (oraz</w:t>
      </w:r>
      <w:r w:rsidR="000F44A7" w:rsidRPr="00DE500E">
        <w:rPr>
          <w:rFonts w:ascii="Calibri" w:hAnsi="Calibri" w:cs="Calibri"/>
          <w:sz w:val="24"/>
          <w:szCs w:val="24"/>
        </w:rPr>
        <w:t xml:space="preserve"> </w:t>
      </w:r>
      <w:r w:rsidRPr="00DE500E">
        <w:rPr>
          <w:rFonts w:ascii="Calibri" w:hAnsi="Calibri" w:cs="Calibri"/>
          <w:sz w:val="24"/>
          <w:szCs w:val="24"/>
        </w:rPr>
        <w:t>zarządzeniami) w</w:t>
      </w:r>
      <w:r w:rsidR="007E7F45" w:rsidRPr="00DE500E">
        <w:rPr>
          <w:rFonts w:ascii="Calibri" w:hAnsi="Calibri" w:cs="Calibri"/>
          <w:sz w:val="24"/>
          <w:szCs w:val="24"/>
        </w:rPr>
        <w:t> </w:t>
      </w:r>
      <w:r w:rsidRPr="00DE500E">
        <w:rPr>
          <w:rFonts w:ascii="Calibri" w:hAnsi="Calibri" w:cs="Calibri"/>
          <w:sz w:val="24"/>
          <w:szCs w:val="24"/>
        </w:rPr>
        <w:t>sprawie:</w:t>
      </w:r>
    </w:p>
    <w:p w:rsidR="00785B5A" w:rsidRPr="00DE500E" w:rsidRDefault="00785B5A" w:rsidP="00DE500E">
      <w:pPr>
        <w:pStyle w:val="Teksttreci60"/>
        <w:numPr>
          <w:ilvl w:val="1"/>
          <w:numId w:val="40"/>
        </w:numPr>
        <w:spacing w:line="312" w:lineRule="auto"/>
        <w:ind w:left="1066" w:hanging="357"/>
        <w:jc w:val="both"/>
        <w:rPr>
          <w:rFonts w:ascii="Calibri" w:hAnsi="Calibri" w:cs="Calibri"/>
          <w:sz w:val="24"/>
          <w:szCs w:val="24"/>
        </w:rPr>
      </w:pPr>
      <w:r w:rsidRPr="00DE500E">
        <w:rPr>
          <w:rFonts w:ascii="Calibri" w:hAnsi="Calibri" w:cs="Calibri"/>
          <w:sz w:val="24"/>
          <w:szCs w:val="24"/>
        </w:rPr>
        <w:t>o zasiedzenie nieruchomości lub udziału we współwłasności nieruchomości, lub</w:t>
      </w:r>
    </w:p>
    <w:p w:rsidR="00785B5A" w:rsidRPr="00DE500E" w:rsidRDefault="00785B5A" w:rsidP="00DE500E">
      <w:pPr>
        <w:pStyle w:val="Teksttreci60"/>
        <w:numPr>
          <w:ilvl w:val="1"/>
          <w:numId w:val="40"/>
        </w:numPr>
        <w:spacing w:line="312" w:lineRule="auto"/>
        <w:ind w:left="1066" w:hanging="357"/>
        <w:jc w:val="both"/>
        <w:rPr>
          <w:rFonts w:ascii="Calibri" w:hAnsi="Calibri" w:cs="Calibri"/>
          <w:sz w:val="24"/>
          <w:szCs w:val="24"/>
        </w:rPr>
      </w:pPr>
      <w:r w:rsidRPr="00DE500E">
        <w:rPr>
          <w:rFonts w:ascii="Calibri" w:hAnsi="Calibri" w:cs="Calibri"/>
          <w:sz w:val="24"/>
          <w:szCs w:val="24"/>
        </w:rPr>
        <w:t>o zasiedzenie służebności, lub</w:t>
      </w:r>
    </w:p>
    <w:p w:rsidR="00785B5A" w:rsidRPr="00DE500E" w:rsidRDefault="00785B5A" w:rsidP="00DE500E">
      <w:pPr>
        <w:pStyle w:val="Teksttreci60"/>
        <w:numPr>
          <w:ilvl w:val="1"/>
          <w:numId w:val="40"/>
        </w:numPr>
        <w:spacing w:line="312" w:lineRule="auto"/>
        <w:ind w:left="1066" w:hanging="357"/>
        <w:jc w:val="both"/>
        <w:rPr>
          <w:rFonts w:ascii="Calibri" w:hAnsi="Calibri" w:cs="Calibri"/>
          <w:sz w:val="24"/>
          <w:szCs w:val="24"/>
        </w:rPr>
      </w:pPr>
      <w:r w:rsidRPr="00DE500E">
        <w:rPr>
          <w:rFonts w:ascii="Calibri" w:hAnsi="Calibri" w:cs="Calibri"/>
          <w:sz w:val="24"/>
          <w:szCs w:val="24"/>
        </w:rPr>
        <w:t>o ustanowienie służebności, lub</w:t>
      </w:r>
    </w:p>
    <w:p w:rsidR="00785B5A" w:rsidRPr="00DE500E" w:rsidRDefault="00785B5A" w:rsidP="00DE500E">
      <w:pPr>
        <w:pStyle w:val="Teksttreci60"/>
        <w:numPr>
          <w:ilvl w:val="1"/>
          <w:numId w:val="40"/>
        </w:numPr>
        <w:spacing w:line="312" w:lineRule="auto"/>
        <w:ind w:left="1066" w:hanging="357"/>
        <w:jc w:val="both"/>
        <w:rPr>
          <w:rFonts w:ascii="Calibri" w:hAnsi="Calibri" w:cs="Calibri"/>
          <w:sz w:val="24"/>
          <w:szCs w:val="24"/>
        </w:rPr>
      </w:pPr>
      <w:r w:rsidRPr="00DE500E">
        <w:rPr>
          <w:rFonts w:ascii="Calibri" w:hAnsi="Calibri" w:cs="Calibri"/>
          <w:sz w:val="24"/>
          <w:szCs w:val="24"/>
        </w:rPr>
        <w:t>o rozgraniczenie;</w:t>
      </w:r>
    </w:p>
    <w:p w:rsidR="00785B5A" w:rsidRPr="00DE500E" w:rsidRDefault="00785B5A" w:rsidP="00DE500E">
      <w:pPr>
        <w:pStyle w:val="Teksttreci60"/>
        <w:numPr>
          <w:ilvl w:val="0"/>
          <w:numId w:val="40"/>
        </w:numPr>
        <w:spacing w:line="312" w:lineRule="auto"/>
        <w:ind w:left="714" w:hanging="357"/>
        <w:jc w:val="both"/>
        <w:rPr>
          <w:rFonts w:ascii="Calibri" w:hAnsi="Calibri" w:cs="Calibri"/>
          <w:sz w:val="24"/>
          <w:szCs w:val="24"/>
        </w:rPr>
      </w:pPr>
      <w:r w:rsidRPr="00DE500E">
        <w:rPr>
          <w:rFonts w:ascii="Calibri" w:hAnsi="Calibri" w:cs="Calibri"/>
          <w:sz w:val="24"/>
          <w:szCs w:val="24"/>
        </w:rPr>
        <w:t>sporządzenie projektu postanowienia dowodowego dotyczącego opinii biegłego lub</w:t>
      </w:r>
      <w:r w:rsidR="00FB659B" w:rsidRPr="00DE500E">
        <w:rPr>
          <w:rFonts w:ascii="Calibri" w:hAnsi="Calibri" w:cs="Calibri"/>
          <w:sz w:val="24"/>
          <w:szCs w:val="24"/>
        </w:rPr>
        <w:t xml:space="preserve"> </w:t>
      </w:r>
      <w:r w:rsidRPr="00DE500E">
        <w:rPr>
          <w:rFonts w:ascii="Calibri" w:hAnsi="Calibri" w:cs="Calibri"/>
          <w:sz w:val="24"/>
          <w:szCs w:val="24"/>
        </w:rPr>
        <w:t>biegłych, wraz z odpowiednimi zarządzeniami (w tym odezwą do biegłego) w sprawie:</w:t>
      </w:r>
    </w:p>
    <w:p w:rsidR="00785B5A" w:rsidRPr="00DE500E" w:rsidRDefault="00785B5A" w:rsidP="00DE500E">
      <w:pPr>
        <w:pStyle w:val="Teksttreci60"/>
        <w:numPr>
          <w:ilvl w:val="1"/>
          <w:numId w:val="40"/>
        </w:numPr>
        <w:spacing w:line="312" w:lineRule="auto"/>
        <w:ind w:left="1066" w:hanging="357"/>
        <w:jc w:val="both"/>
        <w:rPr>
          <w:rFonts w:ascii="Calibri" w:hAnsi="Calibri" w:cs="Calibri"/>
          <w:sz w:val="24"/>
          <w:szCs w:val="24"/>
        </w:rPr>
      </w:pPr>
      <w:r w:rsidRPr="00DE500E">
        <w:rPr>
          <w:rFonts w:ascii="Calibri" w:hAnsi="Calibri" w:cs="Calibri"/>
          <w:sz w:val="24"/>
          <w:szCs w:val="24"/>
        </w:rPr>
        <w:t>o zasiedzenie (w szczególności w celu sporządzenia mapy z projektem podziału</w:t>
      </w:r>
      <w:r w:rsidR="00FB659B" w:rsidRPr="00DE500E">
        <w:rPr>
          <w:rFonts w:ascii="Calibri" w:hAnsi="Calibri" w:cs="Calibri"/>
          <w:sz w:val="24"/>
          <w:szCs w:val="24"/>
        </w:rPr>
        <w:t xml:space="preserve"> </w:t>
      </w:r>
      <w:r w:rsidRPr="00DE500E">
        <w:rPr>
          <w:rFonts w:ascii="Calibri" w:hAnsi="Calibri" w:cs="Calibri"/>
          <w:sz w:val="24"/>
          <w:szCs w:val="24"/>
        </w:rPr>
        <w:t>nieruchomości), lub</w:t>
      </w:r>
    </w:p>
    <w:p w:rsidR="00785B5A" w:rsidRPr="00DE500E" w:rsidRDefault="00785B5A" w:rsidP="00DE500E">
      <w:pPr>
        <w:pStyle w:val="Teksttreci60"/>
        <w:numPr>
          <w:ilvl w:val="1"/>
          <w:numId w:val="40"/>
        </w:numPr>
        <w:spacing w:line="312" w:lineRule="auto"/>
        <w:ind w:left="1066" w:hanging="357"/>
        <w:jc w:val="both"/>
        <w:rPr>
          <w:rFonts w:ascii="Calibri" w:hAnsi="Calibri" w:cs="Calibri"/>
          <w:sz w:val="24"/>
          <w:szCs w:val="24"/>
        </w:rPr>
      </w:pPr>
      <w:r w:rsidRPr="00DE500E">
        <w:rPr>
          <w:rFonts w:ascii="Calibri" w:hAnsi="Calibri" w:cs="Calibri"/>
          <w:sz w:val="24"/>
          <w:szCs w:val="24"/>
        </w:rPr>
        <w:t>o ustanowienie służebności gruntowej, lub</w:t>
      </w:r>
    </w:p>
    <w:p w:rsidR="00785B5A" w:rsidRPr="00DE500E" w:rsidRDefault="00785B5A" w:rsidP="00DE500E">
      <w:pPr>
        <w:pStyle w:val="Teksttreci60"/>
        <w:numPr>
          <w:ilvl w:val="1"/>
          <w:numId w:val="40"/>
        </w:numPr>
        <w:shd w:val="clear" w:color="auto" w:fill="auto"/>
        <w:spacing w:line="312" w:lineRule="auto"/>
        <w:ind w:left="1066" w:hanging="357"/>
        <w:jc w:val="both"/>
        <w:rPr>
          <w:rFonts w:ascii="Calibri" w:hAnsi="Calibri" w:cs="Calibri"/>
          <w:sz w:val="24"/>
          <w:szCs w:val="24"/>
        </w:rPr>
      </w:pPr>
      <w:r w:rsidRPr="00DE500E">
        <w:rPr>
          <w:rFonts w:ascii="Calibri" w:hAnsi="Calibri" w:cs="Calibri"/>
          <w:sz w:val="24"/>
          <w:szCs w:val="24"/>
        </w:rPr>
        <w:t>o ustanowienie służebności pr</w:t>
      </w:r>
      <w:r w:rsidR="000F44A7" w:rsidRPr="00DE500E">
        <w:rPr>
          <w:rFonts w:ascii="Calibri" w:hAnsi="Calibri" w:cs="Calibri"/>
          <w:sz w:val="24"/>
          <w:szCs w:val="24"/>
        </w:rPr>
        <w:t>zesyłu lub</w:t>
      </w:r>
    </w:p>
    <w:p w:rsidR="000F44A7" w:rsidRPr="00DE500E" w:rsidRDefault="000F44A7" w:rsidP="00DE500E">
      <w:pPr>
        <w:pStyle w:val="Teksttreci60"/>
        <w:numPr>
          <w:ilvl w:val="1"/>
          <w:numId w:val="40"/>
        </w:numPr>
        <w:shd w:val="clear" w:color="auto" w:fill="auto"/>
        <w:spacing w:after="120" w:line="312" w:lineRule="auto"/>
        <w:ind w:left="1066" w:hanging="357"/>
        <w:jc w:val="both"/>
        <w:rPr>
          <w:rFonts w:ascii="Calibri" w:hAnsi="Calibri" w:cs="Calibri"/>
          <w:sz w:val="24"/>
          <w:szCs w:val="24"/>
        </w:rPr>
      </w:pPr>
      <w:r w:rsidRPr="00DE500E">
        <w:rPr>
          <w:rFonts w:ascii="Calibri" w:hAnsi="Calibri" w:cs="Calibri"/>
          <w:sz w:val="24"/>
          <w:szCs w:val="24"/>
        </w:rPr>
        <w:t xml:space="preserve">o rozgraniczenie </w:t>
      </w:r>
    </w:p>
    <w:p w:rsidR="007E7F45" w:rsidRPr="00DE500E" w:rsidRDefault="007E7F45" w:rsidP="00DE500E">
      <w:pPr>
        <w:pStyle w:val="Teksttreci60"/>
        <w:shd w:val="clear" w:color="auto" w:fill="auto"/>
        <w:spacing w:after="120" w:line="312" w:lineRule="auto"/>
        <w:ind w:left="80"/>
        <w:jc w:val="both"/>
        <w:rPr>
          <w:rFonts w:ascii="Calibri" w:hAnsi="Calibri" w:cs="Calibri"/>
          <w:sz w:val="24"/>
          <w:szCs w:val="24"/>
        </w:rPr>
      </w:pPr>
    </w:p>
    <w:p w:rsidR="00DE500E" w:rsidRDefault="00DE500E" w:rsidP="00DE500E">
      <w:pPr>
        <w:pStyle w:val="Teksttreci60"/>
        <w:shd w:val="clear" w:color="auto" w:fill="auto"/>
        <w:tabs>
          <w:tab w:val="left" w:leader="dot" w:pos="3814"/>
        </w:tabs>
        <w:spacing w:after="120" w:line="312" w:lineRule="auto"/>
        <w:jc w:val="center"/>
        <w:rPr>
          <w:rFonts w:ascii="Calibri" w:hAnsi="Calibri" w:cs="Calibri"/>
          <w:b/>
          <w:sz w:val="24"/>
          <w:szCs w:val="24"/>
        </w:rPr>
      </w:pPr>
    </w:p>
    <w:p w:rsidR="00F43EE4" w:rsidRPr="00DE500E" w:rsidRDefault="00F43EE4" w:rsidP="00DE500E">
      <w:pPr>
        <w:pStyle w:val="Teksttreci60"/>
        <w:shd w:val="clear" w:color="auto" w:fill="auto"/>
        <w:tabs>
          <w:tab w:val="left" w:leader="dot" w:pos="3814"/>
        </w:tabs>
        <w:spacing w:after="120" w:line="312" w:lineRule="auto"/>
        <w:jc w:val="center"/>
        <w:rPr>
          <w:rFonts w:ascii="Calibri" w:hAnsi="Calibri" w:cs="Calibri"/>
          <w:b/>
          <w:sz w:val="24"/>
          <w:szCs w:val="24"/>
        </w:rPr>
      </w:pPr>
      <w:r w:rsidRPr="00DE500E">
        <w:rPr>
          <w:rFonts w:ascii="Calibri" w:hAnsi="Calibri" w:cs="Calibri"/>
          <w:b/>
          <w:sz w:val="24"/>
          <w:szCs w:val="24"/>
        </w:rPr>
        <w:lastRenderedPageBreak/>
        <w:t>III.2. ZALECENIA W SPRAWIE PRAKTYK PO 25 ZJEŹDZIE</w:t>
      </w:r>
    </w:p>
    <w:p w:rsidR="00F43EE4" w:rsidRPr="00DE500E" w:rsidRDefault="00F43EE4" w:rsidP="00DE500E">
      <w:pPr>
        <w:pStyle w:val="Default"/>
        <w:spacing w:after="120" w:line="312" w:lineRule="auto"/>
        <w:jc w:val="both"/>
        <w:rPr>
          <w:rFonts w:ascii="Calibri" w:hAnsi="Calibri" w:cs="Calibri"/>
          <w:b/>
          <w:color w:val="auto"/>
        </w:rPr>
      </w:pPr>
      <w:r w:rsidRPr="00DE500E">
        <w:rPr>
          <w:rFonts w:ascii="Calibri" w:hAnsi="Calibri" w:cs="Calibri"/>
          <w:b/>
          <w:color w:val="auto"/>
        </w:rPr>
        <w:t xml:space="preserve">Przedmiot zjazdu: </w:t>
      </w:r>
      <w:r w:rsidRPr="00DE500E">
        <w:rPr>
          <w:rFonts w:ascii="Calibri" w:hAnsi="Calibri" w:cs="Calibri"/>
          <w:b/>
          <w:bCs/>
          <w:color w:val="auto"/>
        </w:rPr>
        <w:t xml:space="preserve">postępowanie procesowe i nieprocesowe w sprawach osobowych i spadkowych </w:t>
      </w:r>
    </w:p>
    <w:p w:rsidR="00F43EE4" w:rsidRPr="00DE500E" w:rsidRDefault="00F43EE4" w:rsidP="00DE500E">
      <w:pPr>
        <w:spacing w:after="0" w:line="312" w:lineRule="auto"/>
        <w:ind w:firstLine="709"/>
        <w:jc w:val="both"/>
        <w:rPr>
          <w:rFonts w:ascii="Calibri" w:hAnsi="Calibri" w:cs="Calibri"/>
          <w:sz w:val="24"/>
          <w:szCs w:val="24"/>
        </w:rPr>
      </w:pPr>
      <w:r w:rsidRPr="00DE500E">
        <w:rPr>
          <w:rFonts w:ascii="Calibri" w:hAnsi="Calibri" w:cs="Calibri"/>
          <w:sz w:val="24"/>
          <w:szCs w:val="24"/>
        </w:rPr>
        <w:t xml:space="preserve">W zakresie </w:t>
      </w:r>
      <w:r w:rsidRPr="00DE500E">
        <w:rPr>
          <w:rFonts w:ascii="Calibri" w:hAnsi="Calibri" w:cs="Calibri"/>
          <w:b/>
          <w:sz w:val="24"/>
          <w:szCs w:val="24"/>
        </w:rPr>
        <w:t>prawa materialnego</w:t>
      </w:r>
      <w:r w:rsidRPr="00DE500E">
        <w:rPr>
          <w:rFonts w:ascii="Calibri" w:hAnsi="Calibri" w:cs="Calibri"/>
          <w:sz w:val="24"/>
          <w:szCs w:val="24"/>
        </w:rPr>
        <w:t xml:space="preserve"> należy szczególną uwagę poświęcić zagadnieniom, w zakres których wchodzą: </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 xml:space="preserve">uznanie za zmarłego, w tym w szczególności na skutek działań wojennych (art. XXVIII i następne ustawy – Przepisy wprowadzające kodeks cywilny);  </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 xml:space="preserve">stwierdzenie zgonu; </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pojęcie spadku;</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dziedziczenie ustawowe;</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dziedziczenie testamentowe, w tym w szczególności:</w:t>
      </w:r>
    </w:p>
    <w:p w:rsidR="00F43EE4" w:rsidRPr="00DE500E" w:rsidRDefault="00F43EE4" w:rsidP="00DE500E">
      <w:pPr>
        <w:pStyle w:val="Akapitzlist"/>
        <w:numPr>
          <w:ilvl w:val="0"/>
          <w:numId w:val="26"/>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testamenty zwykłe,</w:t>
      </w:r>
    </w:p>
    <w:p w:rsidR="00F43EE4" w:rsidRPr="00DE500E" w:rsidRDefault="00F43EE4" w:rsidP="00DE500E">
      <w:pPr>
        <w:pStyle w:val="Akapitzlist"/>
        <w:numPr>
          <w:ilvl w:val="0"/>
          <w:numId w:val="26"/>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testamenty szczególne, w tym w szczególności testament ustny (okoliczności pozwalające na skorzystanie z tej formy testamentu, świadkowie testamentu ustnego, sposoby stwierdzenia treści testamentu ustnego),</w:t>
      </w:r>
    </w:p>
    <w:p w:rsidR="00F43EE4" w:rsidRPr="00DE500E" w:rsidRDefault="00F43EE4" w:rsidP="00DE500E">
      <w:pPr>
        <w:pStyle w:val="Akapitzlist"/>
        <w:numPr>
          <w:ilvl w:val="0"/>
          <w:numId w:val="26"/>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przesłanki nieważności testamentu z powodu wady oświadczenia woli (art. 945 k.c.),</w:t>
      </w:r>
    </w:p>
    <w:p w:rsidR="00F43EE4" w:rsidRPr="00DE500E" w:rsidRDefault="00F43EE4" w:rsidP="00DE500E">
      <w:pPr>
        <w:pStyle w:val="Akapitzlist"/>
        <w:numPr>
          <w:ilvl w:val="0"/>
          <w:numId w:val="26"/>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wykładnia testamentu (art. 948 k.c.);</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zapis i polecenie oraz zapis windykacyjny;</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 xml:space="preserve">zachowek; </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 xml:space="preserve">wydziedziczenie; </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 xml:space="preserve">zrzeczenie się dziedziczenia; </w:t>
      </w:r>
    </w:p>
    <w:p w:rsidR="00F43EE4" w:rsidRPr="00DE500E" w:rsidRDefault="00F43EE4" w:rsidP="00DE500E">
      <w:pPr>
        <w:pStyle w:val="Akapitzlist"/>
        <w:numPr>
          <w:ilvl w:val="0"/>
          <w:numId w:val="25"/>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przyjęcie i odrzucenie spadku;</w:t>
      </w:r>
    </w:p>
    <w:p w:rsidR="00F43EE4" w:rsidRPr="00DE500E" w:rsidRDefault="00F43EE4" w:rsidP="00DE500E">
      <w:pPr>
        <w:pStyle w:val="Akapitzlist"/>
        <w:numPr>
          <w:ilvl w:val="0"/>
          <w:numId w:val="25"/>
        </w:numPr>
        <w:spacing w:after="120" w:line="312" w:lineRule="auto"/>
        <w:ind w:left="714" w:hanging="357"/>
        <w:contextualSpacing w:val="0"/>
        <w:jc w:val="both"/>
        <w:rPr>
          <w:rFonts w:ascii="Calibri" w:hAnsi="Calibri" w:cs="Calibri"/>
          <w:sz w:val="24"/>
          <w:szCs w:val="24"/>
        </w:rPr>
      </w:pPr>
      <w:r w:rsidRPr="00DE500E">
        <w:rPr>
          <w:rFonts w:ascii="Calibri" w:eastAsia="Andale Sans UI" w:hAnsi="Calibri" w:cs="Calibri"/>
          <w:kern w:val="3"/>
          <w:sz w:val="24"/>
          <w:szCs w:val="24"/>
        </w:rPr>
        <w:t xml:space="preserve">szczególne zasady dziedziczenia gospodarstw rolnych, w tym w świetle orzecznictwa Trybunału Konstytucyjnego. </w:t>
      </w:r>
    </w:p>
    <w:p w:rsidR="00F43EE4" w:rsidRPr="00DE500E" w:rsidRDefault="00F43EE4" w:rsidP="005874DC">
      <w:pPr>
        <w:spacing w:after="0" w:line="312" w:lineRule="auto"/>
        <w:ind w:firstLine="709"/>
        <w:jc w:val="both"/>
        <w:rPr>
          <w:rFonts w:ascii="Calibri" w:hAnsi="Calibri" w:cs="Calibri"/>
          <w:sz w:val="24"/>
          <w:szCs w:val="24"/>
        </w:rPr>
      </w:pPr>
      <w:r w:rsidRPr="00DE500E">
        <w:rPr>
          <w:rFonts w:ascii="Calibri" w:hAnsi="Calibri" w:cs="Calibri"/>
          <w:sz w:val="24"/>
          <w:szCs w:val="24"/>
        </w:rPr>
        <w:t xml:space="preserve">W zakresie </w:t>
      </w:r>
      <w:r w:rsidRPr="00DE500E">
        <w:rPr>
          <w:rFonts w:ascii="Calibri" w:hAnsi="Calibri" w:cs="Calibri"/>
          <w:b/>
          <w:sz w:val="24"/>
          <w:szCs w:val="24"/>
        </w:rPr>
        <w:t>prawa procesowego</w:t>
      </w:r>
      <w:r w:rsidRPr="00DE500E">
        <w:rPr>
          <w:rFonts w:ascii="Calibri" w:hAnsi="Calibri" w:cs="Calibri"/>
          <w:sz w:val="24"/>
          <w:szCs w:val="24"/>
        </w:rPr>
        <w:t xml:space="preserve"> należy poświęcić uwagę przede wszystkim zagadnieniom obejmującym: </w:t>
      </w:r>
    </w:p>
    <w:p w:rsidR="00F43EE4" w:rsidRPr="00DE500E" w:rsidRDefault="00F43EE4" w:rsidP="00DE500E">
      <w:pPr>
        <w:pStyle w:val="Akapitzlist"/>
        <w:widowControl w:val="0"/>
        <w:numPr>
          <w:ilvl w:val="0"/>
          <w:numId w:val="27"/>
        </w:numPr>
        <w:spacing w:after="0" w:line="312" w:lineRule="auto"/>
        <w:contextualSpacing w:val="0"/>
        <w:jc w:val="both"/>
        <w:rPr>
          <w:rFonts w:ascii="Calibri" w:hAnsi="Calibri" w:cs="Calibri"/>
          <w:sz w:val="24"/>
          <w:szCs w:val="24"/>
        </w:rPr>
      </w:pPr>
      <w:r w:rsidRPr="00DE500E">
        <w:rPr>
          <w:rFonts w:ascii="Calibri" w:hAnsi="Calibri" w:cs="Calibri"/>
          <w:sz w:val="24"/>
          <w:szCs w:val="24"/>
        </w:rPr>
        <w:t>postępowanie w przedmiocie uznania za zmarłego i stwierdzenia zgonu, w tym w szczególności właściwość sądu, ogłoszenie o wszczęciu postępowania, redakcja postanowienia o uznaniu za zmarłego lub stwierdzeniu zgonu;</w:t>
      </w:r>
    </w:p>
    <w:p w:rsidR="00F43EE4" w:rsidRPr="00DE500E" w:rsidRDefault="00F43EE4" w:rsidP="00DE500E">
      <w:pPr>
        <w:pStyle w:val="Akapitzlist"/>
        <w:widowControl w:val="0"/>
        <w:numPr>
          <w:ilvl w:val="0"/>
          <w:numId w:val="27"/>
        </w:numPr>
        <w:spacing w:after="0" w:line="312" w:lineRule="auto"/>
        <w:contextualSpacing w:val="0"/>
        <w:jc w:val="both"/>
        <w:rPr>
          <w:rFonts w:ascii="Calibri" w:hAnsi="Calibri" w:cs="Calibri"/>
          <w:sz w:val="24"/>
          <w:szCs w:val="24"/>
        </w:rPr>
      </w:pPr>
      <w:r w:rsidRPr="00DE500E">
        <w:rPr>
          <w:rFonts w:ascii="Calibri" w:hAnsi="Calibri" w:cs="Calibri"/>
          <w:sz w:val="24"/>
          <w:szCs w:val="24"/>
        </w:rPr>
        <w:t>postępowanie o stwierdzenie nabycia spadku, w tym w szczególności:</w:t>
      </w:r>
    </w:p>
    <w:p w:rsidR="00F43EE4" w:rsidRPr="00DE500E" w:rsidRDefault="00F43EE4" w:rsidP="00DE500E">
      <w:pPr>
        <w:pStyle w:val="Akapitzlist"/>
        <w:widowControl w:val="0"/>
        <w:numPr>
          <w:ilvl w:val="0"/>
          <w:numId w:val="28"/>
        </w:numPr>
        <w:spacing w:after="0" w:line="312" w:lineRule="auto"/>
        <w:ind w:left="993" w:hanging="284"/>
        <w:contextualSpacing w:val="0"/>
        <w:jc w:val="both"/>
        <w:rPr>
          <w:rFonts w:ascii="Calibri" w:hAnsi="Calibri" w:cs="Calibri"/>
          <w:sz w:val="24"/>
          <w:szCs w:val="24"/>
        </w:rPr>
      </w:pPr>
      <w:r w:rsidRPr="00DE500E">
        <w:rPr>
          <w:rFonts w:ascii="Calibri" w:hAnsi="Calibri" w:cs="Calibri"/>
          <w:sz w:val="24"/>
          <w:szCs w:val="24"/>
        </w:rPr>
        <w:t>legitymacja czynna do złożenia wniosku oraz krąg uczestników postępowania,</w:t>
      </w:r>
    </w:p>
    <w:p w:rsidR="00F43EE4" w:rsidRPr="00DE500E" w:rsidRDefault="00F43EE4" w:rsidP="00DE500E">
      <w:pPr>
        <w:pStyle w:val="Akapitzlist"/>
        <w:widowControl w:val="0"/>
        <w:numPr>
          <w:ilvl w:val="0"/>
          <w:numId w:val="28"/>
        </w:numPr>
        <w:spacing w:after="0" w:line="312" w:lineRule="auto"/>
        <w:ind w:left="993" w:hanging="284"/>
        <w:contextualSpacing w:val="0"/>
        <w:jc w:val="both"/>
        <w:rPr>
          <w:rFonts w:ascii="Calibri" w:hAnsi="Calibri" w:cs="Calibri"/>
          <w:sz w:val="24"/>
          <w:szCs w:val="24"/>
        </w:rPr>
      </w:pPr>
      <w:r w:rsidRPr="00DE500E">
        <w:rPr>
          <w:rFonts w:ascii="Calibri" w:hAnsi="Calibri" w:cs="Calibri"/>
          <w:sz w:val="24"/>
          <w:szCs w:val="24"/>
        </w:rPr>
        <w:t>wezwanie spadkobierców przez ogłoszenie,</w:t>
      </w:r>
    </w:p>
    <w:p w:rsidR="00F43EE4" w:rsidRPr="00DE500E" w:rsidRDefault="00F43EE4" w:rsidP="00DE500E">
      <w:pPr>
        <w:pStyle w:val="Akapitzlist"/>
        <w:widowControl w:val="0"/>
        <w:numPr>
          <w:ilvl w:val="0"/>
          <w:numId w:val="28"/>
        </w:numPr>
        <w:spacing w:after="0" w:line="312" w:lineRule="auto"/>
        <w:ind w:left="993" w:hanging="284"/>
        <w:contextualSpacing w:val="0"/>
        <w:jc w:val="both"/>
        <w:rPr>
          <w:rFonts w:ascii="Calibri" w:hAnsi="Calibri" w:cs="Calibri"/>
          <w:sz w:val="24"/>
          <w:szCs w:val="24"/>
        </w:rPr>
      </w:pPr>
      <w:r w:rsidRPr="00DE500E">
        <w:rPr>
          <w:rFonts w:ascii="Calibri" w:hAnsi="Calibri" w:cs="Calibri"/>
          <w:sz w:val="24"/>
          <w:szCs w:val="24"/>
        </w:rPr>
        <w:t>przesłuchanie świadków testamentu ustnego;</w:t>
      </w:r>
    </w:p>
    <w:p w:rsidR="00F43EE4" w:rsidRPr="00DE500E" w:rsidRDefault="00F43EE4" w:rsidP="00DE500E">
      <w:pPr>
        <w:pStyle w:val="Akapitzlist"/>
        <w:widowControl w:val="0"/>
        <w:numPr>
          <w:ilvl w:val="0"/>
          <w:numId w:val="27"/>
        </w:numPr>
        <w:spacing w:after="0" w:line="312" w:lineRule="auto"/>
        <w:contextualSpacing w:val="0"/>
        <w:jc w:val="both"/>
        <w:rPr>
          <w:rFonts w:ascii="Calibri" w:hAnsi="Calibri" w:cs="Calibri"/>
          <w:sz w:val="24"/>
          <w:szCs w:val="24"/>
        </w:rPr>
      </w:pPr>
      <w:r w:rsidRPr="00DE500E">
        <w:rPr>
          <w:rFonts w:ascii="Calibri" w:hAnsi="Calibri" w:cs="Calibri"/>
          <w:sz w:val="24"/>
          <w:szCs w:val="24"/>
        </w:rPr>
        <w:t>otwarcie i ogłoszenie testamentu; stwierdzenie nabycia przedmiotu zapisu windykacyjnego; zabezpieczenie spadku i przedmiotu zapisu windykacyjnego;</w:t>
      </w:r>
    </w:p>
    <w:p w:rsidR="00F43EE4" w:rsidRPr="00DE500E" w:rsidRDefault="00F43EE4" w:rsidP="00DE500E">
      <w:pPr>
        <w:pStyle w:val="Akapitzlist"/>
        <w:widowControl w:val="0"/>
        <w:numPr>
          <w:ilvl w:val="0"/>
          <w:numId w:val="27"/>
        </w:numPr>
        <w:spacing w:after="0" w:line="312" w:lineRule="auto"/>
        <w:contextualSpacing w:val="0"/>
        <w:jc w:val="both"/>
        <w:rPr>
          <w:rFonts w:ascii="Calibri" w:hAnsi="Calibri" w:cs="Calibri"/>
          <w:sz w:val="24"/>
          <w:szCs w:val="24"/>
        </w:rPr>
      </w:pPr>
      <w:r w:rsidRPr="00DE500E">
        <w:rPr>
          <w:rFonts w:ascii="Calibri" w:hAnsi="Calibri" w:cs="Calibri"/>
          <w:sz w:val="24"/>
          <w:szCs w:val="24"/>
        </w:rPr>
        <w:t xml:space="preserve">postępowanie w przedmiocie ustanowienia kuratora spadku; postępowanie w sprawie </w:t>
      </w:r>
      <w:r w:rsidRPr="00DE500E">
        <w:rPr>
          <w:rFonts w:ascii="Calibri" w:hAnsi="Calibri" w:cs="Calibri"/>
          <w:sz w:val="24"/>
          <w:szCs w:val="24"/>
        </w:rPr>
        <w:lastRenderedPageBreak/>
        <w:t>o spis inwentarza oraz postępowanie po złożeniu wykazu inwentarza;</w:t>
      </w:r>
    </w:p>
    <w:p w:rsidR="00F43EE4" w:rsidRPr="00DE500E" w:rsidRDefault="00F43EE4" w:rsidP="00DE500E">
      <w:pPr>
        <w:pStyle w:val="Akapitzlist"/>
        <w:widowControl w:val="0"/>
        <w:numPr>
          <w:ilvl w:val="0"/>
          <w:numId w:val="27"/>
        </w:numPr>
        <w:spacing w:after="0" w:line="312" w:lineRule="auto"/>
        <w:contextualSpacing w:val="0"/>
        <w:jc w:val="both"/>
        <w:rPr>
          <w:rFonts w:ascii="Calibri" w:hAnsi="Calibri" w:cs="Calibri"/>
          <w:sz w:val="24"/>
          <w:szCs w:val="24"/>
        </w:rPr>
      </w:pPr>
      <w:r w:rsidRPr="00DE500E">
        <w:rPr>
          <w:rFonts w:ascii="Calibri" w:hAnsi="Calibri" w:cs="Calibri"/>
          <w:sz w:val="24"/>
          <w:szCs w:val="24"/>
        </w:rPr>
        <w:t>zmiana prawomocnego postanowienia o stwierdzeniu nabycia spadku (art. 679 k.p.c.); uchylenie aktu poświadczenia dziedziczenia;</w:t>
      </w:r>
    </w:p>
    <w:p w:rsidR="00F43EE4" w:rsidRPr="00DE500E" w:rsidRDefault="00F43EE4" w:rsidP="00DE500E">
      <w:pPr>
        <w:pStyle w:val="Akapitzlist"/>
        <w:widowControl w:val="0"/>
        <w:numPr>
          <w:ilvl w:val="0"/>
          <w:numId w:val="27"/>
        </w:numPr>
        <w:spacing w:after="120" w:line="312" w:lineRule="auto"/>
        <w:ind w:left="714" w:hanging="357"/>
        <w:contextualSpacing w:val="0"/>
        <w:jc w:val="both"/>
        <w:rPr>
          <w:rFonts w:ascii="Calibri" w:hAnsi="Calibri" w:cs="Calibri"/>
          <w:sz w:val="24"/>
          <w:szCs w:val="24"/>
        </w:rPr>
      </w:pPr>
      <w:r w:rsidRPr="00DE500E">
        <w:rPr>
          <w:rFonts w:ascii="Calibri" w:hAnsi="Calibri" w:cs="Calibri"/>
          <w:sz w:val="24"/>
          <w:szCs w:val="24"/>
        </w:rPr>
        <w:t>europejskie postępowanie spadkowe.</w:t>
      </w:r>
    </w:p>
    <w:p w:rsidR="00F43EE4" w:rsidRPr="00DE500E" w:rsidRDefault="00F43EE4" w:rsidP="00DE500E">
      <w:pPr>
        <w:spacing w:after="120" w:line="312" w:lineRule="auto"/>
        <w:ind w:firstLine="709"/>
        <w:jc w:val="both"/>
        <w:rPr>
          <w:rFonts w:ascii="Calibri" w:hAnsi="Calibri" w:cs="Calibri"/>
          <w:sz w:val="24"/>
          <w:szCs w:val="24"/>
        </w:rPr>
      </w:pPr>
      <w:r w:rsidRPr="00DE500E">
        <w:rPr>
          <w:rFonts w:ascii="Calibri" w:hAnsi="Calibri" w:cs="Calibri"/>
          <w:sz w:val="24"/>
          <w:szCs w:val="24"/>
        </w:rPr>
        <w:t xml:space="preserve">Szczególną uwagę należy poświęcić zagadnieniom procesowych i technicznych aspektów </w:t>
      </w:r>
      <w:r w:rsidRPr="00DE500E">
        <w:rPr>
          <w:rFonts w:ascii="Calibri" w:hAnsi="Calibri" w:cs="Calibri"/>
          <w:b/>
          <w:sz w:val="24"/>
          <w:szCs w:val="24"/>
        </w:rPr>
        <w:t>postępowania dowodowego w sprawach o stwierdzenie nabycia spadku</w:t>
      </w:r>
      <w:r w:rsidRPr="00DE500E">
        <w:rPr>
          <w:rFonts w:ascii="Calibri" w:hAnsi="Calibri" w:cs="Calibri"/>
          <w:sz w:val="24"/>
          <w:szCs w:val="24"/>
        </w:rPr>
        <w:t>, z uwzględnieniem sposobu redagowania postanowień dowodowych dopuszczających dowód z opinii biegłych różnych specjalności w celu stwierdzenia ważności testamentu (dowód z opinii biegłego do spraw badań porównawczych pisma ręcznego - w tym również gromadzenie materiału porównawczego do badań, dowód z opinii biegłego lekarza psychiatry, dowód z opinii biegłego psychologa – w</w:t>
      </w:r>
      <w:r w:rsidR="00FB659B" w:rsidRPr="00DE500E">
        <w:rPr>
          <w:rFonts w:ascii="Calibri" w:hAnsi="Calibri" w:cs="Calibri"/>
          <w:sz w:val="24"/>
          <w:szCs w:val="24"/>
        </w:rPr>
        <w:t> </w:t>
      </w:r>
      <w:r w:rsidRPr="00DE500E">
        <w:rPr>
          <w:rFonts w:ascii="Calibri" w:hAnsi="Calibri" w:cs="Calibri"/>
          <w:sz w:val="24"/>
          <w:szCs w:val="24"/>
        </w:rPr>
        <w:t xml:space="preserve">tym również gromadzenie dokumentacji medycznej, rozróżnienie kompetencji psychiatry i psychologa). </w:t>
      </w:r>
    </w:p>
    <w:p w:rsidR="00F43EE4" w:rsidRPr="00DE500E" w:rsidRDefault="00F43EE4" w:rsidP="00DE500E">
      <w:pPr>
        <w:spacing w:after="120" w:line="312" w:lineRule="auto"/>
        <w:ind w:firstLine="709"/>
        <w:jc w:val="both"/>
        <w:rPr>
          <w:rFonts w:ascii="Calibri" w:hAnsi="Calibri" w:cs="Calibri"/>
          <w:b/>
          <w:sz w:val="24"/>
          <w:szCs w:val="24"/>
          <w:u w:val="single"/>
        </w:rPr>
      </w:pPr>
      <w:r w:rsidRPr="00DE500E">
        <w:rPr>
          <w:rFonts w:ascii="Calibri" w:hAnsi="Calibri" w:cs="Calibri"/>
          <w:b/>
          <w:sz w:val="24"/>
          <w:szCs w:val="24"/>
          <w:u w:val="single"/>
        </w:rPr>
        <w:t>Czynności, które powinny zostać zlecone aplikantowi w trakcie praktyki (czynności obowiązkowe):</w:t>
      </w:r>
    </w:p>
    <w:p w:rsidR="00F43EE4" w:rsidRPr="00DE500E" w:rsidRDefault="00F43EE4" w:rsidP="00DE500E">
      <w:pPr>
        <w:pStyle w:val="Teksttreci60"/>
        <w:shd w:val="clear" w:color="auto" w:fill="auto"/>
        <w:tabs>
          <w:tab w:val="left" w:leader="dot" w:pos="3810"/>
        </w:tabs>
        <w:spacing w:line="312" w:lineRule="auto"/>
        <w:jc w:val="both"/>
        <w:rPr>
          <w:rFonts w:ascii="Calibri" w:hAnsi="Calibri" w:cs="Calibri"/>
          <w:sz w:val="24"/>
          <w:szCs w:val="24"/>
        </w:rPr>
      </w:pPr>
      <w:r w:rsidRPr="00DE500E">
        <w:rPr>
          <w:rFonts w:ascii="Calibri" w:hAnsi="Calibri" w:cs="Calibri"/>
          <w:sz w:val="24"/>
          <w:szCs w:val="24"/>
        </w:rPr>
        <w:t xml:space="preserve">Sporządzenie projektów orzeczeń wraz z uzasadnieniem: </w:t>
      </w:r>
    </w:p>
    <w:p w:rsidR="00F43EE4" w:rsidRPr="00DE500E" w:rsidRDefault="00F43EE4" w:rsidP="00DE500E">
      <w:pPr>
        <w:pStyle w:val="Teksttreci60"/>
        <w:numPr>
          <w:ilvl w:val="0"/>
          <w:numId w:val="29"/>
        </w:numPr>
        <w:shd w:val="clear" w:color="auto" w:fill="auto"/>
        <w:tabs>
          <w:tab w:val="left" w:leader="dot" w:pos="3853"/>
        </w:tabs>
        <w:spacing w:line="312" w:lineRule="auto"/>
        <w:ind w:left="714" w:hanging="357"/>
        <w:jc w:val="both"/>
        <w:rPr>
          <w:rFonts w:ascii="Calibri" w:hAnsi="Calibri" w:cs="Calibri"/>
          <w:sz w:val="24"/>
          <w:szCs w:val="24"/>
        </w:rPr>
      </w:pPr>
      <w:r w:rsidRPr="00DE500E">
        <w:rPr>
          <w:rFonts w:ascii="Calibri" w:hAnsi="Calibri" w:cs="Calibri"/>
          <w:sz w:val="24"/>
          <w:szCs w:val="24"/>
        </w:rPr>
        <w:t>w co najmniej 1 sprawie o stwierdzenie nabycia spadku, w której podniesiono zarzuty co do ważności testamentu lub występuje inny problem wymagający poszerzonej analizy prawnej;</w:t>
      </w:r>
    </w:p>
    <w:p w:rsidR="00F43EE4" w:rsidRPr="00DE500E" w:rsidRDefault="00F43EE4" w:rsidP="00DE500E">
      <w:pPr>
        <w:pStyle w:val="Teksttreci60"/>
        <w:numPr>
          <w:ilvl w:val="0"/>
          <w:numId w:val="29"/>
        </w:numPr>
        <w:shd w:val="clear" w:color="auto" w:fill="auto"/>
        <w:tabs>
          <w:tab w:val="left" w:leader="dot" w:pos="3853"/>
        </w:tabs>
        <w:spacing w:line="312" w:lineRule="auto"/>
        <w:ind w:left="714" w:hanging="357"/>
        <w:jc w:val="both"/>
        <w:rPr>
          <w:rFonts w:ascii="Calibri" w:hAnsi="Calibri" w:cs="Calibri"/>
          <w:sz w:val="24"/>
          <w:szCs w:val="24"/>
        </w:rPr>
      </w:pPr>
      <w:r w:rsidRPr="00DE500E">
        <w:rPr>
          <w:rFonts w:ascii="Calibri" w:hAnsi="Calibri" w:cs="Calibri"/>
          <w:sz w:val="24"/>
          <w:szCs w:val="24"/>
        </w:rPr>
        <w:t>w co najmniej 1 sprawie o uchylenie się od skutków niezłożenia oświadczenia spadkowego lub o zabezpieczenie spadku, o spis inwentarza lub o ustanowienie kuratora spadku.</w:t>
      </w:r>
    </w:p>
    <w:p w:rsidR="00F43EE4" w:rsidRPr="00DE500E" w:rsidRDefault="00F43EE4" w:rsidP="00DE500E">
      <w:pPr>
        <w:pStyle w:val="Akapitzlist"/>
        <w:spacing w:after="0" w:line="312" w:lineRule="auto"/>
        <w:ind w:left="1134"/>
        <w:contextualSpacing w:val="0"/>
        <w:jc w:val="both"/>
        <w:rPr>
          <w:rFonts w:ascii="Calibri" w:hAnsi="Calibri" w:cs="Calibri"/>
          <w:sz w:val="24"/>
          <w:szCs w:val="24"/>
        </w:rPr>
      </w:pPr>
    </w:p>
    <w:p w:rsidR="00F43EE4" w:rsidRPr="00DE500E" w:rsidRDefault="00F43EE4" w:rsidP="00DE500E">
      <w:pPr>
        <w:pStyle w:val="Akapitzlist"/>
        <w:numPr>
          <w:ilvl w:val="1"/>
          <w:numId w:val="15"/>
        </w:numPr>
        <w:spacing w:after="120" w:line="312" w:lineRule="auto"/>
        <w:ind w:left="0" w:firstLine="0"/>
        <w:contextualSpacing w:val="0"/>
        <w:jc w:val="center"/>
        <w:rPr>
          <w:rFonts w:ascii="Calibri" w:hAnsi="Calibri" w:cs="Calibri"/>
          <w:b/>
          <w:sz w:val="24"/>
          <w:szCs w:val="24"/>
        </w:rPr>
      </w:pPr>
      <w:r w:rsidRPr="00DE500E">
        <w:rPr>
          <w:rFonts w:ascii="Calibri" w:hAnsi="Calibri" w:cs="Calibri"/>
          <w:b/>
          <w:sz w:val="24"/>
          <w:szCs w:val="24"/>
        </w:rPr>
        <w:t xml:space="preserve"> ZALECENIA W SPRAWIE PRAKTYK PO 26 ZJEŹDZIE</w:t>
      </w:r>
    </w:p>
    <w:p w:rsidR="00F43EE4" w:rsidRPr="00DE500E" w:rsidRDefault="00F43EE4" w:rsidP="00DE500E">
      <w:pPr>
        <w:pStyle w:val="Default"/>
        <w:spacing w:after="120" w:line="312" w:lineRule="auto"/>
        <w:jc w:val="both"/>
        <w:rPr>
          <w:rFonts w:ascii="Calibri" w:hAnsi="Calibri" w:cs="Calibri"/>
          <w:b/>
          <w:color w:val="auto"/>
        </w:rPr>
      </w:pPr>
      <w:r w:rsidRPr="00DE500E">
        <w:rPr>
          <w:rFonts w:ascii="Calibri" w:hAnsi="Calibri" w:cs="Calibri"/>
          <w:b/>
          <w:color w:val="auto"/>
        </w:rPr>
        <w:t xml:space="preserve">Przedmiot zjazdu: </w:t>
      </w:r>
      <w:r w:rsidRPr="00DE500E">
        <w:rPr>
          <w:rFonts w:ascii="Calibri" w:hAnsi="Calibri" w:cs="Calibri"/>
          <w:b/>
          <w:bCs/>
          <w:color w:val="auto"/>
        </w:rPr>
        <w:t xml:space="preserve">sprawy działowe (zniesienie współwłasności, podział majątku wspólnego, dział spadku) </w:t>
      </w:r>
    </w:p>
    <w:p w:rsidR="00F43EE4" w:rsidRPr="00DE500E" w:rsidRDefault="00F43EE4" w:rsidP="00DE500E">
      <w:pPr>
        <w:spacing w:after="0" w:line="312" w:lineRule="auto"/>
        <w:ind w:firstLine="709"/>
        <w:jc w:val="both"/>
        <w:rPr>
          <w:rFonts w:ascii="Calibri" w:hAnsi="Calibri" w:cs="Calibri"/>
          <w:sz w:val="24"/>
          <w:szCs w:val="24"/>
        </w:rPr>
      </w:pPr>
      <w:r w:rsidRPr="00DE500E">
        <w:rPr>
          <w:rFonts w:ascii="Calibri" w:hAnsi="Calibri" w:cs="Calibri"/>
          <w:sz w:val="24"/>
          <w:szCs w:val="24"/>
        </w:rPr>
        <w:t xml:space="preserve">W zakresie </w:t>
      </w:r>
      <w:r w:rsidRPr="00DE500E">
        <w:rPr>
          <w:rFonts w:ascii="Calibri" w:hAnsi="Calibri" w:cs="Calibri"/>
          <w:b/>
          <w:sz w:val="24"/>
          <w:szCs w:val="24"/>
        </w:rPr>
        <w:t>prawa materialnego</w:t>
      </w:r>
      <w:r w:rsidRPr="00DE500E">
        <w:rPr>
          <w:rFonts w:ascii="Calibri" w:hAnsi="Calibri" w:cs="Calibri"/>
          <w:sz w:val="24"/>
          <w:szCs w:val="24"/>
        </w:rPr>
        <w:t xml:space="preserve"> należy poświęcić szczególną uwagę zagadnieniem prawa cywilnego, które obejmują:</w:t>
      </w:r>
    </w:p>
    <w:p w:rsidR="00F43EE4" w:rsidRPr="00DE500E" w:rsidRDefault="00F43EE4" w:rsidP="00DE500E">
      <w:pPr>
        <w:pStyle w:val="Akapitzlist"/>
        <w:numPr>
          <w:ilvl w:val="0"/>
          <w:numId w:val="30"/>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zniesienie współwłasności, a w szczególności:</w:t>
      </w:r>
    </w:p>
    <w:p w:rsidR="00F43EE4" w:rsidRPr="00DE500E" w:rsidRDefault="00F43EE4" w:rsidP="00DE500E">
      <w:pPr>
        <w:pStyle w:val="Akapitzlist"/>
        <w:numPr>
          <w:ilvl w:val="0"/>
          <w:numId w:val="31"/>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 xml:space="preserve">różne sposoby zniesienia współwłasności (przy uwzględnieniu zasady pierwszeństwa podziału fizycznego), </w:t>
      </w:r>
    </w:p>
    <w:p w:rsidR="00F43EE4" w:rsidRPr="00DE500E" w:rsidRDefault="00F43EE4" w:rsidP="00DE500E">
      <w:pPr>
        <w:pStyle w:val="Akapitzlist"/>
        <w:numPr>
          <w:ilvl w:val="0"/>
          <w:numId w:val="31"/>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zniesienie współwłasności poprzez wyodrębnienie lokali,</w:t>
      </w:r>
    </w:p>
    <w:p w:rsidR="00F43EE4" w:rsidRPr="00DE500E" w:rsidRDefault="00F43EE4" w:rsidP="00DE500E">
      <w:pPr>
        <w:pStyle w:val="Akapitzlist"/>
        <w:numPr>
          <w:ilvl w:val="0"/>
          <w:numId w:val="31"/>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zniesienie współwłasności poprzez sprzedaż licytacyjną,</w:t>
      </w:r>
    </w:p>
    <w:p w:rsidR="00F43EE4" w:rsidRPr="00DE500E" w:rsidRDefault="00F43EE4" w:rsidP="00DE500E">
      <w:pPr>
        <w:pStyle w:val="Akapitzlist"/>
        <w:numPr>
          <w:ilvl w:val="0"/>
          <w:numId w:val="31"/>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zasady rozliczeń wzajemnych roszczeń współwłaścicieli z tytułu posiadania rzeczy;</w:t>
      </w:r>
    </w:p>
    <w:p w:rsidR="00F43EE4" w:rsidRPr="00DE500E" w:rsidRDefault="00F43EE4" w:rsidP="00DE500E">
      <w:pPr>
        <w:pStyle w:val="Akapitzlist"/>
        <w:numPr>
          <w:ilvl w:val="0"/>
          <w:numId w:val="30"/>
        </w:numPr>
        <w:spacing w:after="0" w:line="312" w:lineRule="auto"/>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podział majątku wspólnego, a w szczególności:</w:t>
      </w:r>
    </w:p>
    <w:p w:rsidR="00F43EE4" w:rsidRPr="00DE500E" w:rsidRDefault="00F43EE4" w:rsidP="00DE500E">
      <w:pPr>
        <w:pStyle w:val="Akapitzlist"/>
        <w:numPr>
          <w:ilvl w:val="0"/>
          <w:numId w:val="32"/>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małżeńskie ustroje majątkowe,</w:t>
      </w:r>
    </w:p>
    <w:p w:rsidR="00F43EE4" w:rsidRPr="00DE500E" w:rsidRDefault="00F43EE4" w:rsidP="00DE500E">
      <w:pPr>
        <w:pStyle w:val="Akapitzlist"/>
        <w:numPr>
          <w:ilvl w:val="0"/>
          <w:numId w:val="32"/>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majątek wspólny a majątek osobisty,</w:t>
      </w:r>
    </w:p>
    <w:p w:rsidR="00F43EE4" w:rsidRPr="00DE500E" w:rsidRDefault="00F43EE4" w:rsidP="00DE500E">
      <w:pPr>
        <w:pStyle w:val="Akapitzlist"/>
        <w:numPr>
          <w:ilvl w:val="0"/>
          <w:numId w:val="32"/>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lastRenderedPageBreak/>
        <w:t>przesłanki ustalenia nierównych udziałów w majątku wspólnym,</w:t>
      </w:r>
    </w:p>
    <w:p w:rsidR="00F43EE4" w:rsidRPr="00DE500E" w:rsidRDefault="00F43EE4" w:rsidP="00DE500E">
      <w:pPr>
        <w:pStyle w:val="Akapitzlist"/>
        <w:numPr>
          <w:ilvl w:val="0"/>
          <w:numId w:val="32"/>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zasady rozliczeń wydatków i nakładów z majątku wspólnego na majątek osobisty oraz z majątku osobistego na majątek wspólny;</w:t>
      </w:r>
    </w:p>
    <w:p w:rsidR="00F43EE4" w:rsidRPr="00DE500E" w:rsidRDefault="00F43EE4" w:rsidP="00DE500E">
      <w:pPr>
        <w:pStyle w:val="Akapitzlist"/>
        <w:numPr>
          <w:ilvl w:val="0"/>
          <w:numId w:val="30"/>
        </w:numPr>
        <w:spacing w:after="120" w:line="312" w:lineRule="auto"/>
        <w:ind w:left="714" w:hanging="357"/>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dział spadku, a w szczególności zaliczanie darowizn i zapisów windykacyjnych na schedy spadkowe.</w:t>
      </w:r>
    </w:p>
    <w:p w:rsidR="00F43EE4" w:rsidRPr="00DE500E" w:rsidRDefault="00F43EE4" w:rsidP="00DE500E">
      <w:pPr>
        <w:spacing w:after="0" w:line="312" w:lineRule="auto"/>
        <w:ind w:firstLine="709"/>
        <w:jc w:val="both"/>
        <w:rPr>
          <w:rFonts w:ascii="Calibri" w:hAnsi="Calibri" w:cs="Calibri"/>
          <w:sz w:val="24"/>
          <w:szCs w:val="24"/>
        </w:rPr>
      </w:pPr>
      <w:bookmarkStart w:id="1" w:name="_Hlk107475051"/>
      <w:r w:rsidRPr="00DE500E">
        <w:rPr>
          <w:rFonts w:ascii="Calibri" w:hAnsi="Calibri" w:cs="Calibri"/>
          <w:sz w:val="24"/>
          <w:szCs w:val="24"/>
        </w:rPr>
        <w:t xml:space="preserve">W zakresie </w:t>
      </w:r>
      <w:r w:rsidRPr="00DE500E">
        <w:rPr>
          <w:rFonts w:ascii="Calibri" w:hAnsi="Calibri" w:cs="Calibri"/>
          <w:b/>
          <w:sz w:val="24"/>
          <w:szCs w:val="24"/>
        </w:rPr>
        <w:t>prawa procesowego</w:t>
      </w:r>
      <w:r w:rsidRPr="00DE500E">
        <w:rPr>
          <w:rFonts w:ascii="Calibri" w:hAnsi="Calibri" w:cs="Calibri"/>
          <w:sz w:val="24"/>
          <w:szCs w:val="24"/>
        </w:rPr>
        <w:t xml:space="preserve"> szczególną uwagę należy poświęcić następującym zagadnieniom</w:t>
      </w:r>
      <w:bookmarkEnd w:id="1"/>
      <w:r w:rsidRPr="00DE500E">
        <w:rPr>
          <w:rFonts w:ascii="Calibri" w:hAnsi="Calibri" w:cs="Calibri"/>
          <w:sz w:val="24"/>
          <w:szCs w:val="24"/>
        </w:rPr>
        <w:t xml:space="preserve">: </w:t>
      </w:r>
    </w:p>
    <w:p w:rsidR="00F43EE4" w:rsidRPr="00DE500E" w:rsidRDefault="00F43EE4" w:rsidP="00DE500E">
      <w:pPr>
        <w:pStyle w:val="Akapitzlist"/>
        <w:numPr>
          <w:ilvl w:val="0"/>
          <w:numId w:val="24"/>
        </w:numPr>
        <w:spacing w:after="0" w:line="312" w:lineRule="auto"/>
        <w:ind w:left="720"/>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legitymacja czynna do złożenia wniosku o wszczęcie postępowania działowego;</w:t>
      </w:r>
    </w:p>
    <w:p w:rsidR="00F43EE4" w:rsidRPr="00DE500E" w:rsidRDefault="00F43EE4" w:rsidP="00DE500E">
      <w:pPr>
        <w:pStyle w:val="Akapitzlist"/>
        <w:numPr>
          <w:ilvl w:val="0"/>
          <w:numId w:val="24"/>
        </w:numPr>
        <w:spacing w:after="0" w:line="312" w:lineRule="auto"/>
        <w:ind w:left="720"/>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właściwość sądu;</w:t>
      </w:r>
    </w:p>
    <w:p w:rsidR="00F43EE4" w:rsidRPr="00DE500E" w:rsidRDefault="00F43EE4" w:rsidP="00DE500E">
      <w:pPr>
        <w:pStyle w:val="Akapitzlist"/>
        <w:numPr>
          <w:ilvl w:val="0"/>
          <w:numId w:val="24"/>
        </w:numPr>
        <w:spacing w:after="0" w:line="312" w:lineRule="auto"/>
        <w:ind w:left="720"/>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wpływ toczącego się postępowania działowego na inne postępowania, zakres przedmiotowy spraw, o których mowa w art. 618 k.p.c.;</w:t>
      </w:r>
    </w:p>
    <w:p w:rsidR="00F43EE4" w:rsidRPr="00DE500E" w:rsidRDefault="00F43EE4" w:rsidP="00DE500E">
      <w:pPr>
        <w:pStyle w:val="Akapitzlist"/>
        <w:numPr>
          <w:ilvl w:val="0"/>
          <w:numId w:val="24"/>
        </w:numPr>
        <w:spacing w:after="0" w:line="312" w:lineRule="auto"/>
        <w:ind w:left="720"/>
        <w:contextualSpacing w:val="0"/>
        <w:jc w:val="both"/>
        <w:rPr>
          <w:rFonts w:ascii="Calibri" w:eastAsia="Andale Sans UI" w:hAnsi="Calibri" w:cs="Calibri"/>
          <w:kern w:val="3"/>
          <w:sz w:val="24"/>
          <w:szCs w:val="24"/>
        </w:rPr>
      </w:pPr>
      <w:r w:rsidRPr="00DE500E">
        <w:rPr>
          <w:rFonts w:ascii="Calibri" w:hAnsi="Calibri" w:cs="Calibri"/>
          <w:sz w:val="24"/>
          <w:szCs w:val="24"/>
        </w:rPr>
        <w:t>dopuszczalność wydania postanowienia wstępnego (art. 567 § 2 k.p.c., 618 § 1 k.p.c., art. 685 k.p.c., art. 11 ust. 2 ustawy o własności lokali);</w:t>
      </w:r>
    </w:p>
    <w:p w:rsidR="00F43EE4" w:rsidRPr="00DE500E" w:rsidRDefault="00F43EE4" w:rsidP="00DE500E">
      <w:pPr>
        <w:pStyle w:val="Akapitzlist"/>
        <w:numPr>
          <w:ilvl w:val="0"/>
          <w:numId w:val="24"/>
        </w:numPr>
        <w:spacing w:after="0" w:line="312" w:lineRule="auto"/>
        <w:ind w:left="720"/>
        <w:contextualSpacing w:val="0"/>
        <w:jc w:val="both"/>
        <w:rPr>
          <w:rFonts w:ascii="Calibri" w:eastAsia="Andale Sans UI" w:hAnsi="Calibri" w:cs="Calibri"/>
          <w:kern w:val="3"/>
          <w:sz w:val="24"/>
          <w:szCs w:val="24"/>
        </w:rPr>
      </w:pPr>
      <w:r w:rsidRPr="00DE500E">
        <w:rPr>
          <w:rFonts w:ascii="Calibri" w:hAnsi="Calibri" w:cs="Calibri"/>
          <w:sz w:val="24"/>
          <w:szCs w:val="24"/>
        </w:rPr>
        <w:t>redakcja postanowienia kończącego postępowanie w sprawie, w tym w szczególności:</w:t>
      </w:r>
    </w:p>
    <w:p w:rsidR="00F43EE4" w:rsidRPr="00DE500E" w:rsidRDefault="00F43EE4" w:rsidP="00DE500E">
      <w:pPr>
        <w:pStyle w:val="Akapitzlist"/>
        <w:numPr>
          <w:ilvl w:val="0"/>
          <w:numId w:val="33"/>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opis przedmiotu współwłasności albo składników majątku wspólnego lub składników masy spadkowej oraz wskazanie ich wartości, wskazanie sposobu zniesienia współwłasności (podziału majątku wspólnego, działu spadku), przywołanie operatu (opinii biegłego) jako integralnej części orzeczenia,</w:t>
      </w:r>
    </w:p>
    <w:p w:rsidR="00F43EE4" w:rsidRPr="00DE500E" w:rsidRDefault="00F43EE4" w:rsidP="00DE500E">
      <w:pPr>
        <w:pStyle w:val="Akapitzlist"/>
        <w:numPr>
          <w:ilvl w:val="0"/>
          <w:numId w:val="33"/>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eastAsia="Andale Sans UI" w:hAnsi="Calibri" w:cs="Calibri"/>
          <w:kern w:val="3"/>
          <w:sz w:val="24"/>
          <w:szCs w:val="24"/>
        </w:rPr>
        <w:t>orzekanie o wzajemnych roszczeniach związanych z posiadaniem poszczególnych składników majątkowych podlegających podziałowi w danym postępowaniu,</w:t>
      </w:r>
    </w:p>
    <w:p w:rsidR="00F43EE4" w:rsidRPr="00DE500E" w:rsidRDefault="00F43EE4" w:rsidP="00DE500E">
      <w:pPr>
        <w:pStyle w:val="Akapitzlist"/>
        <w:numPr>
          <w:ilvl w:val="0"/>
          <w:numId w:val="33"/>
        </w:numPr>
        <w:spacing w:after="0" w:line="312" w:lineRule="auto"/>
        <w:ind w:left="993" w:hanging="284"/>
        <w:contextualSpacing w:val="0"/>
        <w:jc w:val="both"/>
        <w:rPr>
          <w:rFonts w:ascii="Calibri" w:eastAsia="Andale Sans UI" w:hAnsi="Calibri" w:cs="Calibri"/>
          <w:kern w:val="3"/>
          <w:sz w:val="24"/>
          <w:szCs w:val="24"/>
        </w:rPr>
      </w:pPr>
      <w:r w:rsidRPr="00DE500E">
        <w:rPr>
          <w:rFonts w:ascii="Calibri" w:hAnsi="Calibri" w:cs="Calibri"/>
          <w:sz w:val="24"/>
          <w:szCs w:val="24"/>
        </w:rPr>
        <w:t>orzekanie o spłatach lub dopłatach (wysokość, termin płatności, odsetki w razie opóźnienia w zapłacie),</w:t>
      </w:r>
    </w:p>
    <w:p w:rsidR="00F43EE4" w:rsidRPr="00DE500E" w:rsidRDefault="00F43EE4" w:rsidP="00DE500E">
      <w:pPr>
        <w:pStyle w:val="Akapitzlist"/>
        <w:numPr>
          <w:ilvl w:val="0"/>
          <w:numId w:val="33"/>
        </w:numPr>
        <w:spacing w:after="120" w:line="312" w:lineRule="auto"/>
        <w:ind w:left="993" w:hanging="284"/>
        <w:contextualSpacing w:val="0"/>
        <w:jc w:val="both"/>
        <w:rPr>
          <w:rFonts w:ascii="Calibri" w:eastAsia="Andale Sans UI" w:hAnsi="Calibri" w:cs="Calibri"/>
          <w:kern w:val="3"/>
          <w:sz w:val="24"/>
          <w:szCs w:val="24"/>
        </w:rPr>
      </w:pPr>
      <w:r w:rsidRPr="00DE500E">
        <w:rPr>
          <w:rFonts w:ascii="Calibri" w:hAnsi="Calibri" w:cs="Calibri"/>
          <w:sz w:val="24"/>
          <w:szCs w:val="24"/>
        </w:rPr>
        <w:t>orzekanie o wydaniu rzeczy przyznanej uczestnikowi, który nią nie włada.</w:t>
      </w:r>
    </w:p>
    <w:p w:rsidR="00F43EE4" w:rsidRPr="00DE500E" w:rsidRDefault="00F43EE4" w:rsidP="00DE500E">
      <w:pPr>
        <w:spacing w:after="120" w:line="312" w:lineRule="auto"/>
        <w:ind w:left="357" w:firstLine="697"/>
        <w:jc w:val="both"/>
        <w:rPr>
          <w:rFonts w:ascii="Calibri" w:hAnsi="Calibri" w:cs="Calibri"/>
          <w:sz w:val="24"/>
          <w:szCs w:val="24"/>
        </w:rPr>
      </w:pPr>
      <w:r w:rsidRPr="00DE500E">
        <w:rPr>
          <w:rFonts w:ascii="Calibri" w:hAnsi="Calibri" w:cs="Calibri"/>
          <w:sz w:val="24"/>
          <w:szCs w:val="24"/>
        </w:rPr>
        <w:t xml:space="preserve">Szczególną uwagę należy poświęcić zagadnieniom procesowych i technicznych aspektów </w:t>
      </w:r>
      <w:r w:rsidRPr="00DE500E">
        <w:rPr>
          <w:rFonts w:ascii="Calibri" w:hAnsi="Calibri" w:cs="Calibri"/>
          <w:b/>
          <w:sz w:val="24"/>
          <w:szCs w:val="24"/>
        </w:rPr>
        <w:t>postępowania dowodowego w sprawach działowych</w:t>
      </w:r>
      <w:r w:rsidRPr="00DE500E">
        <w:rPr>
          <w:rFonts w:ascii="Calibri" w:hAnsi="Calibri" w:cs="Calibri"/>
          <w:sz w:val="24"/>
          <w:szCs w:val="24"/>
        </w:rPr>
        <w:t>, z uwzględnieniem sposobu redagowania postanowień dopuszczających dowód z opinii biegłego geodety w</w:t>
      </w:r>
      <w:r w:rsidR="00FB659B" w:rsidRPr="00DE500E">
        <w:rPr>
          <w:rFonts w:ascii="Calibri" w:hAnsi="Calibri" w:cs="Calibri"/>
          <w:sz w:val="24"/>
          <w:szCs w:val="24"/>
        </w:rPr>
        <w:t xml:space="preserve"> </w:t>
      </w:r>
      <w:r w:rsidRPr="00DE500E">
        <w:rPr>
          <w:rFonts w:ascii="Calibri" w:hAnsi="Calibri" w:cs="Calibri"/>
          <w:sz w:val="24"/>
          <w:szCs w:val="24"/>
        </w:rPr>
        <w:t>celu sporządzenia mapy z projektowanym sposobem podziału nieruchomości, dowodu z</w:t>
      </w:r>
      <w:r w:rsidR="00FB659B" w:rsidRPr="00DE500E">
        <w:rPr>
          <w:rFonts w:ascii="Calibri" w:hAnsi="Calibri" w:cs="Calibri"/>
          <w:sz w:val="24"/>
          <w:szCs w:val="24"/>
        </w:rPr>
        <w:t xml:space="preserve"> </w:t>
      </w:r>
      <w:r w:rsidRPr="00DE500E">
        <w:rPr>
          <w:rFonts w:ascii="Calibri" w:hAnsi="Calibri" w:cs="Calibri"/>
          <w:sz w:val="24"/>
          <w:szCs w:val="24"/>
        </w:rPr>
        <w:t xml:space="preserve">opinii biegłego w celu sporządzenia inwentaryzacji budynku oraz sporządzenia projektu wyodrębnienia samodzielnych lokali mieszkalnych w budynku wielomieszkaniowym oraz dowodu z opinii biegłego rzeczoznawcy majątkowego na okoliczność wyceny poszczególnych składników masy majątkowej podlegającej podziałowi w danym postępowaniu, jak również określenia wartości podlegających rozliczeniu w tym postępowaniu nakładów i wydatków. </w:t>
      </w:r>
    </w:p>
    <w:p w:rsidR="00F43EE4" w:rsidRPr="00DE500E" w:rsidRDefault="00F43EE4" w:rsidP="00DE500E">
      <w:pPr>
        <w:spacing w:after="120" w:line="312" w:lineRule="auto"/>
        <w:ind w:left="357" w:firstLine="697"/>
        <w:jc w:val="both"/>
        <w:rPr>
          <w:rFonts w:ascii="Calibri" w:hAnsi="Calibri" w:cs="Calibri"/>
          <w:sz w:val="24"/>
          <w:szCs w:val="24"/>
        </w:rPr>
      </w:pPr>
      <w:r w:rsidRPr="00DE500E">
        <w:rPr>
          <w:rFonts w:ascii="Calibri" w:hAnsi="Calibri" w:cs="Calibri"/>
          <w:sz w:val="24"/>
          <w:szCs w:val="24"/>
        </w:rPr>
        <w:t>Ponadto, w sprawach o podział majątku wspólnego i</w:t>
      </w:r>
      <w:r w:rsidR="00FB659B" w:rsidRPr="00DE500E">
        <w:rPr>
          <w:rFonts w:ascii="Calibri" w:hAnsi="Calibri" w:cs="Calibri"/>
          <w:sz w:val="24"/>
          <w:szCs w:val="24"/>
        </w:rPr>
        <w:t xml:space="preserve"> </w:t>
      </w:r>
      <w:r w:rsidRPr="00DE500E">
        <w:rPr>
          <w:rFonts w:ascii="Calibri" w:hAnsi="Calibri" w:cs="Calibri"/>
          <w:sz w:val="24"/>
          <w:szCs w:val="24"/>
        </w:rPr>
        <w:t>dział spadku należy zapoznać aplikantów z metodyką podejmowania przez sąd (przewodniczącego) czynności zmierzających do ustalenia pełnego składu majątku wspólnego lub spadku, w</w:t>
      </w:r>
      <w:r w:rsidR="00FB659B" w:rsidRPr="00DE500E">
        <w:rPr>
          <w:rFonts w:ascii="Calibri" w:hAnsi="Calibri" w:cs="Calibri"/>
          <w:sz w:val="24"/>
          <w:szCs w:val="24"/>
        </w:rPr>
        <w:t xml:space="preserve"> </w:t>
      </w:r>
      <w:r w:rsidRPr="00DE500E">
        <w:rPr>
          <w:rFonts w:ascii="Calibri" w:hAnsi="Calibri" w:cs="Calibri"/>
          <w:sz w:val="24"/>
          <w:szCs w:val="24"/>
        </w:rPr>
        <w:t xml:space="preserve">szczególności poprawnym redagowaniem zarządzeń i pism sądowych zawierających wezwanie do </w:t>
      </w:r>
      <w:r w:rsidRPr="00DE500E">
        <w:rPr>
          <w:rFonts w:ascii="Calibri" w:hAnsi="Calibri" w:cs="Calibri"/>
          <w:sz w:val="24"/>
          <w:szCs w:val="24"/>
        </w:rPr>
        <w:lastRenderedPageBreak/>
        <w:t xml:space="preserve">udzielenia stosownych informacji w tym zakresie, kierowanych np. do banków, towarzystw funduszy inwestycyjnych, domów maklerskich itp. </w:t>
      </w:r>
    </w:p>
    <w:p w:rsidR="00F43EE4" w:rsidRPr="00DE500E" w:rsidRDefault="00F43EE4" w:rsidP="00DE500E">
      <w:pPr>
        <w:spacing w:after="120" w:line="312" w:lineRule="auto"/>
        <w:ind w:firstLine="709"/>
        <w:jc w:val="both"/>
        <w:rPr>
          <w:rFonts w:ascii="Calibri" w:hAnsi="Calibri" w:cs="Calibri"/>
          <w:b/>
          <w:sz w:val="24"/>
          <w:szCs w:val="24"/>
          <w:u w:val="single"/>
        </w:rPr>
      </w:pPr>
      <w:r w:rsidRPr="00DE500E">
        <w:rPr>
          <w:rFonts w:ascii="Calibri" w:hAnsi="Calibri" w:cs="Calibri"/>
          <w:b/>
          <w:sz w:val="24"/>
          <w:szCs w:val="24"/>
          <w:u w:val="single"/>
        </w:rPr>
        <w:t>Czynności, które powinny zostać zlecone aplikantowi w trakcie praktyki (czynności obowiązkowe):</w:t>
      </w:r>
    </w:p>
    <w:p w:rsidR="00F43EE4" w:rsidRPr="00DE500E" w:rsidRDefault="00F43EE4" w:rsidP="005874DC">
      <w:pPr>
        <w:pStyle w:val="Akapitzlist"/>
        <w:numPr>
          <w:ilvl w:val="3"/>
          <w:numId w:val="24"/>
        </w:numPr>
        <w:spacing w:after="0" w:line="312" w:lineRule="auto"/>
        <w:ind w:left="714" w:hanging="357"/>
        <w:contextualSpacing w:val="0"/>
        <w:jc w:val="both"/>
        <w:rPr>
          <w:rFonts w:ascii="Calibri" w:eastAsia="Times New Roman" w:hAnsi="Calibri" w:cs="Calibri"/>
          <w:sz w:val="24"/>
          <w:szCs w:val="24"/>
        </w:rPr>
      </w:pPr>
      <w:r w:rsidRPr="00DE500E">
        <w:rPr>
          <w:rFonts w:ascii="Calibri" w:hAnsi="Calibri" w:cs="Calibri"/>
          <w:sz w:val="24"/>
          <w:szCs w:val="24"/>
        </w:rPr>
        <w:t>sporządzenie co najmniej jednego projektu orzeczenia końcowego wraz z</w:t>
      </w:r>
      <w:r w:rsidR="00FB659B" w:rsidRPr="00DE500E">
        <w:rPr>
          <w:rFonts w:ascii="Calibri" w:hAnsi="Calibri" w:cs="Calibri"/>
          <w:sz w:val="24"/>
          <w:szCs w:val="24"/>
        </w:rPr>
        <w:t xml:space="preserve"> </w:t>
      </w:r>
      <w:r w:rsidRPr="00DE500E">
        <w:rPr>
          <w:rFonts w:ascii="Calibri" w:hAnsi="Calibri" w:cs="Calibri"/>
          <w:sz w:val="24"/>
          <w:szCs w:val="24"/>
        </w:rPr>
        <w:t>uzasadnieniem w sprawie</w:t>
      </w:r>
      <w:r w:rsidRPr="00DE500E">
        <w:rPr>
          <w:rFonts w:ascii="Calibri" w:eastAsia="Times New Roman" w:hAnsi="Calibri" w:cs="Calibri"/>
          <w:sz w:val="24"/>
          <w:szCs w:val="24"/>
        </w:rPr>
        <w:t>:</w:t>
      </w:r>
    </w:p>
    <w:p w:rsidR="00F43EE4" w:rsidRPr="00DE500E" w:rsidRDefault="00F43EE4" w:rsidP="005874DC">
      <w:pPr>
        <w:pStyle w:val="Teksttreci60"/>
        <w:numPr>
          <w:ilvl w:val="0"/>
          <w:numId w:val="34"/>
        </w:numPr>
        <w:shd w:val="clear" w:color="auto" w:fill="auto"/>
        <w:tabs>
          <w:tab w:val="left" w:leader="dot" w:pos="3810"/>
        </w:tabs>
        <w:spacing w:line="312" w:lineRule="auto"/>
        <w:ind w:left="993" w:hanging="426"/>
        <w:jc w:val="both"/>
        <w:rPr>
          <w:rFonts w:ascii="Calibri" w:hAnsi="Calibri" w:cs="Calibri"/>
          <w:b/>
          <w:sz w:val="24"/>
          <w:szCs w:val="24"/>
        </w:rPr>
      </w:pPr>
      <w:r w:rsidRPr="00DE500E">
        <w:rPr>
          <w:rFonts w:ascii="Calibri" w:hAnsi="Calibri" w:cs="Calibri"/>
          <w:sz w:val="24"/>
          <w:szCs w:val="24"/>
        </w:rPr>
        <w:t>o zniesienie współwłasności nieruchomości - poprzez jej fizyczny podział albo poprzez ustanowienie odrębnej własności lokali, lub</w:t>
      </w:r>
    </w:p>
    <w:p w:rsidR="00F43EE4" w:rsidRPr="00DE500E" w:rsidRDefault="00F43EE4" w:rsidP="005874DC">
      <w:pPr>
        <w:pStyle w:val="Teksttreci60"/>
        <w:numPr>
          <w:ilvl w:val="0"/>
          <w:numId w:val="34"/>
        </w:numPr>
        <w:shd w:val="clear" w:color="auto" w:fill="auto"/>
        <w:tabs>
          <w:tab w:val="left" w:leader="dot" w:pos="3810"/>
        </w:tabs>
        <w:spacing w:line="312" w:lineRule="auto"/>
        <w:ind w:left="993" w:hanging="426"/>
        <w:jc w:val="both"/>
        <w:rPr>
          <w:rFonts w:ascii="Calibri" w:hAnsi="Calibri" w:cs="Calibri"/>
          <w:b/>
          <w:sz w:val="24"/>
          <w:szCs w:val="24"/>
        </w:rPr>
      </w:pPr>
      <w:r w:rsidRPr="00DE500E">
        <w:rPr>
          <w:rFonts w:ascii="Calibri" w:hAnsi="Calibri" w:cs="Calibri"/>
          <w:sz w:val="24"/>
          <w:szCs w:val="24"/>
        </w:rPr>
        <w:t>o podział majątku wspólnego, lub</w:t>
      </w:r>
    </w:p>
    <w:p w:rsidR="00F43EE4" w:rsidRPr="00DE500E" w:rsidRDefault="00F43EE4" w:rsidP="005874DC">
      <w:pPr>
        <w:pStyle w:val="Teksttreci60"/>
        <w:numPr>
          <w:ilvl w:val="0"/>
          <w:numId w:val="34"/>
        </w:numPr>
        <w:shd w:val="clear" w:color="auto" w:fill="auto"/>
        <w:tabs>
          <w:tab w:val="left" w:leader="dot" w:pos="3810"/>
        </w:tabs>
        <w:spacing w:line="312" w:lineRule="auto"/>
        <w:ind w:left="993" w:hanging="426"/>
        <w:jc w:val="both"/>
        <w:rPr>
          <w:rFonts w:ascii="Calibri" w:hAnsi="Calibri" w:cs="Calibri"/>
          <w:b/>
          <w:sz w:val="24"/>
          <w:szCs w:val="24"/>
        </w:rPr>
      </w:pPr>
      <w:r w:rsidRPr="00DE500E">
        <w:rPr>
          <w:rFonts w:ascii="Calibri" w:hAnsi="Calibri" w:cs="Calibri"/>
          <w:sz w:val="24"/>
          <w:szCs w:val="24"/>
        </w:rPr>
        <w:t>o dział spadku;</w:t>
      </w:r>
    </w:p>
    <w:p w:rsidR="00F43EE4" w:rsidRPr="00DE500E" w:rsidRDefault="00F43EE4" w:rsidP="005874DC">
      <w:pPr>
        <w:pStyle w:val="Akapitzlist"/>
        <w:numPr>
          <w:ilvl w:val="3"/>
          <w:numId w:val="24"/>
        </w:numPr>
        <w:spacing w:after="0" w:line="312" w:lineRule="auto"/>
        <w:ind w:left="714" w:hanging="357"/>
        <w:contextualSpacing w:val="0"/>
        <w:jc w:val="both"/>
        <w:rPr>
          <w:rFonts w:ascii="Calibri" w:hAnsi="Calibri" w:cs="Calibri"/>
          <w:sz w:val="24"/>
          <w:szCs w:val="24"/>
        </w:rPr>
      </w:pPr>
      <w:r w:rsidRPr="00DE500E">
        <w:rPr>
          <w:rFonts w:ascii="Calibri" w:hAnsi="Calibri" w:cs="Calibri"/>
          <w:sz w:val="24"/>
          <w:szCs w:val="24"/>
        </w:rPr>
        <w:t>sporządzenie projektu postanowienia dowodowego wraz z odpowiednimi zarządzeniami:</w:t>
      </w:r>
    </w:p>
    <w:p w:rsidR="00F43EE4" w:rsidRPr="00DE500E" w:rsidRDefault="00F43EE4" w:rsidP="005874DC">
      <w:pPr>
        <w:pStyle w:val="Teksttreci60"/>
        <w:numPr>
          <w:ilvl w:val="0"/>
          <w:numId w:val="35"/>
        </w:numPr>
        <w:shd w:val="clear" w:color="auto" w:fill="auto"/>
        <w:tabs>
          <w:tab w:val="left" w:leader="dot" w:pos="3810"/>
        </w:tabs>
        <w:spacing w:line="312" w:lineRule="auto"/>
        <w:ind w:left="992" w:hanging="425"/>
        <w:jc w:val="both"/>
        <w:rPr>
          <w:rFonts w:ascii="Calibri" w:hAnsi="Calibri" w:cs="Calibri"/>
          <w:sz w:val="24"/>
          <w:szCs w:val="24"/>
        </w:rPr>
      </w:pPr>
      <w:r w:rsidRPr="00DE500E">
        <w:rPr>
          <w:rFonts w:ascii="Calibri" w:hAnsi="Calibri" w:cs="Calibri"/>
          <w:sz w:val="24"/>
          <w:szCs w:val="24"/>
        </w:rPr>
        <w:t>o dopuszczeniu dowodu z opinii biegłego geodety w celu sporządzenia mapy z projektem podziału nieruchomości, lub</w:t>
      </w:r>
    </w:p>
    <w:p w:rsidR="00F43EE4" w:rsidRPr="00DE500E" w:rsidRDefault="00F43EE4" w:rsidP="005874DC">
      <w:pPr>
        <w:pStyle w:val="Teksttreci60"/>
        <w:numPr>
          <w:ilvl w:val="0"/>
          <w:numId w:val="35"/>
        </w:numPr>
        <w:shd w:val="clear" w:color="auto" w:fill="auto"/>
        <w:tabs>
          <w:tab w:val="left" w:leader="dot" w:pos="3810"/>
        </w:tabs>
        <w:spacing w:line="312" w:lineRule="auto"/>
        <w:ind w:left="992" w:hanging="425"/>
        <w:jc w:val="both"/>
        <w:rPr>
          <w:rFonts w:ascii="Calibri" w:hAnsi="Calibri" w:cs="Calibri"/>
          <w:sz w:val="24"/>
          <w:szCs w:val="24"/>
        </w:rPr>
      </w:pPr>
      <w:r w:rsidRPr="00DE500E">
        <w:rPr>
          <w:rFonts w:ascii="Calibri" w:hAnsi="Calibri" w:cs="Calibri"/>
          <w:sz w:val="24"/>
          <w:szCs w:val="24"/>
        </w:rPr>
        <w:t>o dopuszczeniu dowodu z opinii biegłego rzeczoznawcy majątkowego na okoliczność wartości przedmiotu współwłasności (składników majątku wspólnego lub masy spadkowej) oraz – ewentualnie – nakładów lub wydatków podlegających rozliczeniu w</w:t>
      </w:r>
      <w:r w:rsidR="00FB659B" w:rsidRPr="00DE500E">
        <w:rPr>
          <w:rFonts w:ascii="Calibri" w:hAnsi="Calibri" w:cs="Calibri"/>
          <w:sz w:val="24"/>
          <w:szCs w:val="24"/>
        </w:rPr>
        <w:t> </w:t>
      </w:r>
      <w:r w:rsidRPr="00DE500E">
        <w:rPr>
          <w:rFonts w:ascii="Calibri" w:hAnsi="Calibri" w:cs="Calibri"/>
          <w:sz w:val="24"/>
          <w:szCs w:val="24"/>
        </w:rPr>
        <w:t>danym postępowaniu, lub</w:t>
      </w:r>
    </w:p>
    <w:p w:rsidR="00F43EE4" w:rsidRDefault="00F43EE4" w:rsidP="00DE500E">
      <w:pPr>
        <w:pStyle w:val="Teksttreci60"/>
        <w:numPr>
          <w:ilvl w:val="0"/>
          <w:numId w:val="35"/>
        </w:numPr>
        <w:shd w:val="clear" w:color="auto" w:fill="auto"/>
        <w:tabs>
          <w:tab w:val="left" w:leader="dot" w:pos="3810"/>
        </w:tabs>
        <w:spacing w:after="120" w:line="312" w:lineRule="auto"/>
        <w:ind w:left="993" w:hanging="426"/>
        <w:jc w:val="both"/>
        <w:rPr>
          <w:rFonts w:ascii="Calibri" w:hAnsi="Calibri" w:cs="Calibri"/>
          <w:sz w:val="24"/>
          <w:szCs w:val="24"/>
        </w:rPr>
      </w:pPr>
      <w:r w:rsidRPr="00DE500E">
        <w:rPr>
          <w:rFonts w:ascii="Calibri" w:hAnsi="Calibri" w:cs="Calibri"/>
          <w:sz w:val="24"/>
          <w:szCs w:val="24"/>
        </w:rPr>
        <w:t>o dopuszczeniu dowodu z opinii biegłego ds. architektoniczno – budowlanych na</w:t>
      </w:r>
      <w:r w:rsidR="00FB659B" w:rsidRPr="00DE500E">
        <w:rPr>
          <w:rFonts w:ascii="Calibri" w:hAnsi="Calibri" w:cs="Calibri"/>
          <w:sz w:val="24"/>
          <w:szCs w:val="24"/>
        </w:rPr>
        <w:t> </w:t>
      </w:r>
      <w:r w:rsidRPr="00DE500E">
        <w:rPr>
          <w:rFonts w:ascii="Calibri" w:hAnsi="Calibri" w:cs="Calibri"/>
          <w:sz w:val="24"/>
          <w:szCs w:val="24"/>
        </w:rPr>
        <w:t>okoliczność możliwości zniesienia współwłasności nieruchomości zabudowanej budynkiem poprzez jego podział fizyczny albo ustanowienie odrębnej własności lokali, bądź też w celu określenia zakresu robót adaptacyjnych koniecznych do</w:t>
      </w:r>
      <w:r w:rsidR="005874DC">
        <w:rPr>
          <w:rFonts w:ascii="Calibri" w:hAnsi="Calibri" w:cs="Calibri"/>
          <w:sz w:val="24"/>
          <w:szCs w:val="24"/>
        </w:rPr>
        <w:t> </w:t>
      </w:r>
      <w:r w:rsidRPr="00DE500E">
        <w:rPr>
          <w:rFonts w:ascii="Calibri" w:hAnsi="Calibri" w:cs="Calibri"/>
          <w:sz w:val="24"/>
          <w:szCs w:val="24"/>
        </w:rPr>
        <w:t>przystosowania lokalu (lokali) do wymogów samodzielności.</w:t>
      </w:r>
    </w:p>
    <w:p w:rsidR="00DE500E" w:rsidRDefault="00DE500E" w:rsidP="00DE500E">
      <w:pPr>
        <w:pStyle w:val="Akapitzlist"/>
        <w:spacing w:after="0" w:line="360" w:lineRule="auto"/>
        <w:ind w:left="799"/>
        <w:jc w:val="center"/>
        <w:rPr>
          <w:sz w:val="24"/>
          <w:szCs w:val="24"/>
        </w:rPr>
      </w:pPr>
    </w:p>
    <w:p w:rsidR="00DE500E" w:rsidRPr="00DE500E" w:rsidRDefault="00DE500E" w:rsidP="005874DC">
      <w:pPr>
        <w:pStyle w:val="Akapitzlist"/>
        <w:spacing w:after="0" w:line="360" w:lineRule="auto"/>
        <w:ind w:left="2923" w:firstLine="617"/>
        <w:jc w:val="center"/>
        <w:rPr>
          <w:sz w:val="24"/>
          <w:szCs w:val="24"/>
        </w:rPr>
      </w:pPr>
      <w:r w:rsidRPr="00DE500E">
        <w:rPr>
          <w:sz w:val="24"/>
          <w:szCs w:val="24"/>
        </w:rPr>
        <w:t>Kierownik Działu Dydaktycznego</w:t>
      </w:r>
    </w:p>
    <w:p w:rsidR="00DE500E" w:rsidRPr="00DE500E" w:rsidRDefault="00DE500E" w:rsidP="005874DC">
      <w:pPr>
        <w:pStyle w:val="Akapitzlist"/>
        <w:spacing w:after="0" w:line="360" w:lineRule="auto"/>
        <w:ind w:left="3631"/>
        <w:jc w:val="center"/>
        <w:rPr>
          <w:sz w:val="24"/>
          <w:szCs w:val="24"/>
        </w:rPr>
      </w:pPr>
      <w:r w:rsidRPr="00DE500E">
        <w:rPr>
          <w:sz w:val="24"/>
          <w:szCs w:val="24"/>
        </w:rPr>
        <w:t>Ośrodka Aplikacji Sędziowskiej</w:t>
      </w:r>
    </w:p>
    <w:p w:rsidR="00DE500E" w:rsidRPr="00DE500E" w:rsidRDefault="00DE500E" w:rsidP="005874DC">
      <w:pPr>
        <w:pStyle w:val="Akapitzlist"/>
        <w:spacing w:after="0" w:line="360" w:lineRule="auto"/>
        <w:ind w:left="2923" w:firstLine="617"/>
        <w:jc w:val="center"/>
        <w:rPr>
          <w:sz w:val="24"/>
          <w:szCs w:val="24"/>
        </w:rPr>
      </w:pPr>
      <w:r w:rsidRPr="00DE500E">
        <w:rPr>
          <w:sz w:val="24"/>
          <w:szCs w:val="24"/>
        </w:rPr>
        <w:t>Magdalena Nagaduś</w:t>
      </w:r>
    </w:p>
    <w:p w:rsidR="00DE500E" w:rsidRPr="00DE500E" w:rsidRDefault="00A636E0" w:rsidP="005874DC">
      <w:pPr>
        <w:pStyle w:val="Akapitzlist"/>
        <w:spacing w:line="360" w:lineRule="auto"/>
        <w:ind w:left="2923" w:firstLine="617"/>
        <w:jc w:val="center"/>
        <w:rPr>
          <w:sz w:val="24"/>
          <w:szCs w:val="24"/>
        </w:rPr>
      </w:pPr>
      <w:r>
        <w:rPr>
          <w:sz w:val="24"/>
          <w:szCs w:val="24"/>
        </w:rPr>
        <w:t xml:space="preserve"> </w:t>
      </w:r>
      <w:r w:rsidR="00DE500E" w:rsidRPr="00DE500E">
        <w:rPr>
          <w:sz w:val="24"/>
          <w:szCs w:val="24"/>
        </w:rPr>
        <w:t>Sędzia</w:t>
      </w:r>
    </w:p>
    <w:p w:rsidR="00DE500E" w:rsidRPr="00DE500E" w:rsidRDefault="00DE500E" w:rsidP="00DE500E">
      <w:pPr>
        <w:pStyle w:val="Teksttreci60"/>
        <w:shd w:val="clear" w:color="auto" w:fill="auto"/>
        <w:tabs>
          <w:tab w:val="left" w:leader="dot" w:pos="3810"/>
        </w:tabs>
        <w:spacing w:after="120" w:line="312" w:lineRule="auto"/>
        <w:jc w:val="both"/>
        <w:rPr>
          <w:rFonts w:ascii="Calibri" w:hAnsi="Calibri" w:cs="Calibri"/>
          <w:sz w:val="24"/>
          <w:szCs w:val="24"/>
        </w:rPr>
      </w:pPr>
    </w:p>
    <w:sectPr w:rsidR="00DE500E" w:rsidRPr="00DE500E" w:rsidSect="00E520B5">
      <w:footerReference w:type="default" r:id="rId8"/>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21" w:rsidRDefault="00917021">
      <w:pPr>
        <w:spacing w:after="0" w:line="240" w:lineRule="auto"/>
      </w:pPr>
      <w:r>
        <w:separator/>
      </w:r>
    </w:p>
  </w:endnote>
  <w:endnote w:type="continuationSeparator" w:id="0">
    <w:p w:rsidR="00917021" w:rsidRDefault="0091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46835"/>
      <w:docPartObj>
        <w:docPartGallery w:val="Page Numbers (Bottom of Page)"/>
        <w:docPartUnique/>
      </w:docPartObj>
    </w:sdtPr>
    <w:sdtEndPr/>
    <w:sdtContent>
      <w:p w:rsidR="00FB659B" w:rsidRDefault="00FB659B">
        <w:pPr>
          <w:pStyle w:val="Stopka"/>
          <w:jc w:val="center"/>
        </w:pPr>
        <w:r>
          <w:fldChar w:fldCharType="begin"/>
        </w:r>
        <w:r>
          <w:instrText>PAGE   \* MERGEFORMAT</w:instrText>
        </w:r>
        <w:r>
          <w:fldChar w:fldCharType="separate"/>
        </w:r>
        <w:r w:rsidR="00271322">
          <w:rPr>
            <w:noProof/>
          </w:rPr>
          <w:t>1</w:t>
        </w:r>
        <w:r>
          <w:fldChar w:fldCharType="end"/>
        </w:r>
      </w:p>
    </w:sdtContent>
  </w:sdt>
  <w:p w:rsidR="007A3737" w:rsidRDefault="0091702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21" w:rsidRDefault="00917021">
      <w:pPr>
        <w:spacing w:after="0" w:line="240" w:lineRule="auto"/>
      </w:pPr>
      <w:r>
        <w:separator/>
      </w:r>
    </w:p>
  </w:footnote>
  <w:footnote w:type="continuationSeparator" w:id="0">
    <w:p w:rsidR="00917021" w:rsidRDefault="00917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981"/>
    <w:multiLevelType w:val="hybridMultilevel"/>
    <w:tmpl w:val="B95A688E"/>
    <w:lvl w:ilvl="0" w:tplc="AFD85E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36966"/>
    <w:multiLevelType w:val="hybridMultilevel"/>
    <w:tmpl w:val="DA78D6A0"/>
    <w:lvl w:ilvl="0" w:tplc="69B6D8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A6BBD"/>
    <w:multiLevelType w:val="hybridMultilevel"/>
    <w:tmpl w:val="B23C3356"/>
    <w:lvl w:ilvl="0" w:tplc="DC5E9A46">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3" w15:restartNumberingAfterBreak="0">
    <w:nsid w:val="0C857538"/>
    <w:multiLevelType w:val="hybridMultilevel"/>
    <w:tmpl w:val="47D8B9BC"/>
    <w:lvl w:ilvl="0" w:tplc="04150011">
      <w:start w:val="1"/>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4" w15:restartNumberingAfterBreak="0">
    <w:nsid w:val="0EA21642"/>
    <w:multiLevelType w:val="hybridMultilevel"/>
    <w:tmpl w:val="E7E60DD8"/>
    <w:lvl w:ilvl="0" w:tplc="356CC90E">
      <w:start w:val="1"/>
      <w:numFmt w:val="bullet"/>
      <w:lvlText w:val=""/>
      <w:lvlJc w:val="left"/>
      <w:pPr>
        <w:ind w:left="1287" w:hanging="360"/>
      </w:pPr>
      <w:rPr>
        <w:rFonts w:ascii="Symbol" w:hAnsi="Symbol" w:hint="default"/>
      </w:rPr>
    </w:lvl>
    <w:lvl w:ilvl="1" w:tplc="692079C8">
      <w:start w:val="1"/>
      <w:numFmt w:val="lowerLetter"/>
      <w:lvlText w:val="%2)"/>
      <w:lvlJc w:val="left"/>
      <w:pPr>
        <w:ind w:left="2007" w:hanging="360"/>
      </w:pPr>
      <w:rPr>
        <w:rFonts w:hint="default"/>
      </w:rPr>
    </w:lvl>
    <w:lvl w:ilvl="2" w:tplc="04150005" w:tentative="1">
      <w:start w:val="1"/>
      <w:numFmt w:val="bullet"/>
      <w:lvlText w:val=""/>
      <w:lvlJc w:val="left"/>
      <w:pPr>
        <w:ind w:left="2727" w:hanging="360"/>
      </w:pPr>
      <w:rPr>
        <w:rFonts w:ascii="Wingdings" w:hAnsi="Wingdings" w:hint="default"/>
      </w:rPr>
    </w:lvl>
    <w:lvl w:ilvl="3" w:tplc="84646F52">
      <w:start w:val="1"/>
      <w:numFmt w:val="lowerLetter"/>
      <w:lvlText w:val="%4)"/>
      <w:lvlJc w:val="left"/>
      <w:pPr>
        <w:ind w:left="3447" w:hanging="360"/>
      </w:pPr>
      <w:rPr>
        <w:rFonts w:hint="default"/>
        <w:b/>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FBB2C55"/>
    <w:multiLevelType w:val="hybridMultilevel"/>
    <w:tmpl w:val="7046A090"/>
    <w:lvl w:ilvl="0" w:tplc="6486D980">
      <w:start w:val="1"/>
      <w:numFmt w:val="decimal"/>
      <w:lvlText w:val="%1)"/>
      <w:lvlJc w:val="left"/>
      <w:pPr>
        <w:ind w:left="502" w:hanging="360"/>
      </w:pPr>
      <w:rPr>
        <w:b/>
        <w:sz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14BB01FD"/>
    <w:multiLevelType w:val="hybridMultilevel"/>
    <w:tmpl w:val="047C5D78"/>
    <w:lvl w:ilvl="0" w:tplc="7B3634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9525A"/>
    <w:multiLevelType w:val="hybridMultilevel"/>
    <w:tmpl w:val="9F06486E"/>
    <w:lvl w:ilvl="0" w:tplc="F4842FBA">
      <w:start w:val="1"/>
      <w:numFmt w:val="decimal"/>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A73CBE"/>
    <w:multiLevelType w:val="hybridMultilevel"/>
    <w:tmpl w:val="1B003A7E"/>
    <w:lvl w:ilvl="0" w:tplc="B002B1EE">
      <w:start w:val="1"/>
      <w:numFmt w:val="decimal"/>
      <w:lvlText w:val="%1)"/>
      <w:lvlJc w:val="left"/>
      <w:pPr>
        <w:ind w:left="360" w:hanging="360"/>
      </w:pPr>
      <w:rPr>
        <w:b/>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5952F8D4">
      <w:start w:val="1"/>
      <w:numFmt w:val="decimal"/>
      <w:lvlText w:val="%4."/>
      <w:lvlJc w:val="left"/>
      <w:pPr>
        <w:ind w:left="252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E1C5E06"/>
    <w:multiLevelType w:val="hybridMultilevel"/>
    <w:tmpl w:val="23364AD0"/>
    <w:lvl w:ilvl="0" w:tplc="827A1C0E">
      <w:start w:val="1"/>
      <w:numFmt w:val="decimal"/>
      <w:lvlText w:val="%1."/>
      <w:lvlJc w:val="left"/>
      <w:pPr>
        <w:ind w:left="1105" w:hanging="396"/>
      </w:pPr>
      <w:rPr>
        <w:rFonts w:hint="default"/>
      </w:rPr>
    </w:lvl>
    <w:lvl w:ilvl="1" w:tplc="877C1F94">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16D15F4"/>
    <w:multiLevelType w:val="multilevel"/>
    <w:tmpl w:val="BBF8B986"/>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554794"/>
    <w:multiLevelType w:val="hybridMultilevel"/>
    <w:tmpl w:val="CB7E29E2"/>
    <w:lvl w:ilvl="0" w:tplc="522CCACE">
      <w:start w:val="1"/>
      <w:numFmt w:val="decimal"/>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A682305"/>
    <w:multiLevelType w:val="hybridMultilevel"/>
    <w:tmpl w:val="72B4E2FE"/>
    <w:lvl w:ilvl="0" w:tplc="04150011">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F27BBD"/>
    <w:multiLevelType w:val="hybridMultilevel"/>
    <w:tmpl w:val="6B46D472"/>
    <w:lvl w:ilvl="0" w:tplc="A34E7DC0">
      <w:start w:val="1"/>
      <w:numFmt w:val="decimal"/>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25C20F5"/>
    <w:multiLevelType w:val="hybridMultilevel"/>
    <w:tmpl w:val="435C8FE8"/>
    <w:lvl w:ilvl="0" w:tplc="2ED86D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E4CAB"/>
    <w:multiLevelType w:val="hybridMultilevel"/>
    <w:tmpl w:val="137A8134"/>
    <w:lvl w:ilvl="0" w:tplc="0A22287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1845B1"/>
    <w:multiLevelType w:val="hybridMultilevel"/>
    <w:tmpl w:val="F8FCA60C"/>
    <w:lvl w:ilvl="0" w:tplc="A6046CC8">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605E9C"/>
    <w:multiLevelType w:val="hybridMultilevel"/>
    <w:tmpl w:val="FFAC38A2"/>
    <w:lvl w:ilvl="0" w:tplc="FBE66B9C">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977423D"/>
    <w:multiLevelType w:val="hybridMultilevel"/>
    <w:tmpl w:val="A418BE46"/>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870102"/>
    <w:multiLevelType w:val="hybridMultilevel"/>
    <w:tmpl w:val="9EB4EDAC"/>
    <w:lvl w:ilvl="0" w:tplc="913C55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13BD9"/>
    <w:multiLevelType w:val="hybridMultilevel"/>
    <w:tmpl w:val="C38EA33E"/>
    <w:lvl w:ilvl="0" w:tplc="1E38B198">
      <w:start w:val="1"/>
      <w:numFmt w:val="decimal"/>
      <w:lvlText w:val="%1)"/>
      <w:lvlJc w:val="left"/>
      <w:pPr>
        <w:ind w:left="1153" w:hanging="444"/>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0AC4CB4"/>
    <w:multiLevelType w:val="hybridMultilevel"/>
    <w:tmpl w:val="A5DED748"/>
    <w:lvl w:ilvl="0" w:tplc="73DA09C0">
      <w:start w:val="1"/>
      <w:numFmt w:val="decimal"/>
      <w:lvlText w:val="%1)"/>
      <w:lvlJc w:val="left"/>
      <w:pPr>
        <w:ind w:left="502" w:hanging="360"/>
      </w:pPr>
      <w:rPr>
        <w:rFonts w:hint="default"/>
        <w:b/>
      </w:rPr>
    </w:lvl>
    <w:lvl w:ilvl="1" w:tplc="04150019" w:tentative="1">
      <w:start w:val="1"/>
      <w:numFmt w:val="lowerLetter"/>
      <w:lvlText w:val="%2."/>
      <w:lvlJc w:val="left"/>
      <w:pPr>
        <w:ind w:left="1304" w:hanging="360"/>
      </w:pPr>
    </w:lvl>
    <w:lvl w:ilvl="2" w:tplc="0415001B" w:tentative="1">
      <w:start w:val="1"/>
      <w:numFmt w:val="lowerRoman"/>
      <w:lvlText w:val="%3."/>
      <w:lvlJc w:val="right"/>
      <w:pPr>
        <w:ind w:left="2024" w:hanging="180"/>
      </w:pPr>
    </w:lvl>
    <w:lvl w:ilvl="3" w:tplc="0415000F" w:tentative="1">
      <w:start w:val="1"/>
      <w:numFmt w:val="decimal"/>
      <w:lvlText w:val="%4."/>
      <w:lvlJc w:val="left"/>
      <w:pPr>
        <w:ind w:left="2744" w:hanging="360"/>
      </w:pPr>
    </w:lvl>
    <w:lvl w:ilvl="4" w:tplc="04150019" w:tentative="1">
      <w:start w:val="1"/>
      <w:numFmt w:val="lowerLetter"/>
      <w:lvlText w:val="%5."/>
      <w:lvlJc w:val="left"/>
      <w:pPr>
        <w:ind w:left="3464" w:hanging="360"/>
      </w:pPr>
    </w:lvl>
    <w:lvl w:ilvl="5" w:tplc="0415001B" w:tentative="1">
      <w:start w:val="1"/>
      <w:numFmt w:val="lowerRoman"/>
      <w:lvlText w:val="%6."/>
      <w:lvlJc w:val="right"/>
      <w:pPr>
        <w:ind w:left="4184" w:hanging="180"/>
      </w:pPr>
    </w:lvl>
    <w:lvl w:ilvl="6" w:tplc="0415000F" w:tentative="1">
      <w:start w:val="1"/>
      <w:numFmt w:val="decimal"/>
      <w:lvlText w:val="%7."/>
      <w:lvlJc w:val="left"/>
      <w:pPr>
        <w:ind w:left="4904" w:hanging="360"/>
      </w:pPr>
    </w:lvl>
    <w:lvl w:ilvl="7" w:tplc="04150019" w:tentative="1">
      <w:start w:val="1"/>
      <w:numFmt w:val="lowerLetter"/>
      <w:lvlText w:val="%8."/>
      <w:lvlJc w:val="left"/>
      <w:pPr>
        <w:ind w:left="5624" w:hanging="360"/>
      </w:pPr>
    </w:lvl>
    <w:lvl w:ilvl="8" w:tplc="0415001B" w:tentative="1">
      <w:start w:val="1"/>
      <w:numFmt w:val="lowerRoman"/>
      <w:lvlText w:val="%9."/>
      <w:lvlJc w:val="right"/>
      <w:pPr>
        <w:ind w:left="6344" w:hanging="180"/>
      </w:pPr>
    </w:lvl>
  </w:abstractNum>
  <w:abstractNum w:abstractNumId="22" w15:restartNumberingAfterBreak="0">
    <w:nsid w:val="41593BEB"/>
    <w:multiLevelType w:val="hybridMultilevel"/>
    <w:tmpl w:val="B7A22FE8"/>
    <w:lvl w:ilvl="0" w:tplc="2654BEEA">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3" w15:restartNumberingAfterBreak="0">
    <w:nsid w:val="5E0476E6"/>
    <w:multiLevelType w:val="hybridMultilevel"/>
    <w:tmpl w:val="C382EB14"/>
    <w:lvl w:ilvl="0" w:tplc="A07E7F8E">
      <w:start w:val="1"/>
      <w:numFmt w:val="decimal"/>
      <w:lvlText w:val="%1."/>
      <w:lvlJc w:val="left"/>
      <w:pPr>
        <w:ind w:left="1429" w:hanging="360"/>
      </w:pPr>
      <w:rPr>
        <w:b/>
      </w:rPr>
    </w:lvl>
    <w:lvl w:ilvl="1" w:tplc="FBB607D6">
      <w:start w:val="1"/>
      <w:numFmt w:val="lowerLetter"/>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15D03DC"/>
    <w:multiLevelType w:val="multilevel"/>
    <w:tmpl w:val="89088E3A"/>
    <w:lvl w:ilvl="0">
      <w:start w:val="3"/>
      <w:numFmt w:val="upperRoman"/>
      <w:lvlText w:val="%1."/>
      <w:lvlJc w:val="righ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7D738D"/>
    <w:multiLevelType w:val="hybridMultilevel"/>
    <w:tmpl w:val="63DE94E6"/>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3A3084"/>
    <w:multiLevelType w:val="hybridMultilevel"/>
    <w:tmpl w:val="FF26F926"/>
    <w:lvl w:ilvl="0" w:tplc="BC766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397A4B"/>
    <w:multiLevelType w:val="hybridMultilevel"/>
    <w:tmpl w:val="B5E6D684"/>
    <w:lvl w:ilvl="0" w:tplc="150A8518">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B445B6E"/>
    <w:multiLevelType w:val="hybridMultilevel"/>
    <w:tmpl w:val="B484E0B2"/>
    <w:lvl w:ilvl="0" w:tplc="A810ECCA">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B6417C2"/>
    <w:multiLevelType w:val="hybridMultilevel"/>
    <w:tmpl w:val="50C61344"/>
    <w:lvl w:ilvl="0" w:tplc="97D07182">
      <w:start w:val="1"/>
      <w:numFmt w:val="lowerLetter"/>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70B05BD5"/>
    <w:multiLevelType w:val="hybridMultilevel"/>
    <w:tmpl w:val="68667F32"/>
    <w:lvl w:ilvl="0" w:tplc="09C6636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424240"/>
    <w:multiLevelType w:val="hybridMultilevel"/>
    <w:tmpl w:val="9E92B392"/>
    <w:lvl w:ilvl="0" w:tplc="6B4CBB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EF289C"/>
    <w:multiLevelType w:val="hybridMultilevel"/>
    <w:tmpl w:val="06EE4D6C"/>
    <w:lvl w:ilvl="0" w:tplc="AEF4581C">
      <w:start w:val="1"/>
      <w:numFmt w:val="decimal"/>
      <w:lvlText w:val="%1)"/>
      <w:lvlJc w:val="left"/>
      <w:pPr>
        <w:ind w:left="1152" w:hanging="360"/>
      </w:pPr>
      <w:rPr>
        <w:rFonts w:hint="default"/>
        <w:b/>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75EF1F2A"/>
    <w:multiLevelType w:val="hybridMultilevel"/>
    <w:tmpl w:val="B420C8A6"/>
    <w:lvl w:ilvl="0" w:tplc="22683DB6">
      <w:start w:val="1"/>
      <w:numFmt w:val="lowerLetter"/>
      <w:lvlText w:val="%1."/>
      <w:lvlJc w:val="left"/>
      <w:pPr>
        <w:ind w:left="1080" w:hanging="360"/>
      </w:pPr>
      <w:rPr>
        <w:rFonts w:eastAsia="Calibri"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724F9A"/>
    <w:multiLevelType w:val="hybridMultilevel"/>
    <w:tmpl w:val="29CE2808"/>
    <w:lvl w:ilvl="0" w:tplc="6B5E7FD6">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F2856"/>
    <w:multiLevelType w:val="hybridMultilevel"/>
    <w:tmpl w:val="1F3805B0"/>
    <w:lvl w:ilvl="0" w:tplc="7AF4870E">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8825FF8"/>
    <w:multiLevelType w:val="hybridMultilevel"/>
    <w:tmpl w:val="D3EEC97A"/>
    <w:lvl w:ilvl="0" w:tplc="085ACCA8">
      <w:start w:val="1"/>
      <w:numFmt w:val="decimal"/>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90A50A9"/>
    <w:multiLevelType w:val="hybridMultilevel"/>
    <w:tmpl w:val="8DD6D410"/>
    <w:lvl w:ilvl="0" w:tplc="E7E0045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2C5763"/>
    <w:multiLevelType w:val="hybridMultilevel"/>
    <w:tmpl w:val="8DD6D410"/>
    <w:lvl w:ilvl="0" w:tplc="E7E0045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1B2F2D"/>
    <w:multiLevelType w:val="hybridMultilevel"/>
    <w:tmpl w:val="BDA29FCC"/>
    <w:lvl w:ilvl="0" w:tplc="C108D20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F204249"/>
    <w:multiLevelType w:val="hybridMultilevel"/>
    <w:tmpl w:val="662ABAD4"/>
    <w:lvl w:ilvl="0" w:tplc="6B5E7FD6">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1"/>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16"/>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num>
  <w:num w:numId="15">
    <w:abstractNumId w:val="24"/>
  </w:num>
  <w:num w:numId="16">
    <w:abstractNumId w:val="30"/>
  </w:num>
  <w:num w:numId="17">
    <w:abstractNumId w:val="32"/>
  </w:num>
  <w:num w:numId="18">
    <w:abstractNumId w:val="4"/>
  </w:num>
  <w:num w:numId="19">
    <w:abstractNumId w:val="29"/>
  </w:num>
  <w:num w:numId="20">
    <w:abstractNumId w:val="19"/>
  </w:num>
  <w:num w:numId="21">
    <w:abstractNumId w:val="5"/>
  </w:num>
  <w:num w:numId="22">
    <w:abstractNumId w:val="26"/>
  </w:num>
  <w:num w:numId="23">
    <w:abstractNumId w:val="37"/>
  </w:num>
  <w:num w:numId="24">
    <w:abstractNumId w:val="8"/>
  </w:num>
  <w:num w:numId="25">
    <w:abstractNumId w:val="14"/>
  </w:num>
  <w:num w:numId="26">
    <w:abstractNumId w:val="34"/>
  </w:num>
  <w:num w:numId="27">
    <w:abstractNumId w:val="12"/>
  </w:num>
  <w:num w:numId="28">
    <w:abstractNumId w:val="40"/>
  </w:num>
  <w:num w:numId="29">
    <w:abstractNumId w:val="3"/>
  </w:num>
  <w:num w:numId="30">
    <w:abstractNumId w:val="6"/>
  </w:num>
  <w:num w:numId="31">
    <w:abstractNumId w:val="25"/>
  </w:num>
  <w:num w:numId="32">
    <w:abstractNumId w:val="18"/>
  </w:num>
  <w:num w:numId="33">
    <w:abstractNumId w:val="33"/>
  </w:num>
  <w:num w:numId="34">
    <w:abstractNumId w:val="22"/>
  </w:num>
  <w:num w:numId="35">
    <w:abstractNumId w:val="2"/>
  </w:num>
  <w:num w:numId="36">
    <w:abstractNumId w:val="35"/>
  </w:num>
  <w:num w:numId="37">
    <w:abstractNumId w:val="20"/>
  </w:num>
  <w:num w:numId="38">
    <w:abstractNumId w:val="17"/>
  </w:num>
  <w:num w:numId="39">
    <w:abstractNumId w:val="39"/>
  </w:num>
  <w:num w:numId="40">
    <w:abstractNumId w:val="2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5A"/>
    <w:rsid w:val="000F44A7"/>
    <w:rsid w:val="001463DC"/>
    <w:rsid w:val="00271322"/>
    <w:rsid w:val="002C73D2"/>
    <w:rsid w:val="0033209E"/>
    <w:rsid w:val="00425E65"/>
    <w:rsid w:val="005874DC"/>
    <w:rsid w:val="00622871"/>
    <w:rsid w:val="00724476"/>
    <w:rsid w:val="00725C1E"/>
    <w:rsid w:val="00785B5A"/>
    <w:rsid w:val="007E7F45"/>
    <w:rsid w:val="00917021"/>
    <w:rsid w:val="009840FD"/>
    <w:rsid w:val="00A636E0"/>
    <w:rsid w:val="00D63BBA"/>
    <w:rsid w:val="00D8341F"/>
    <w:rsid w:val="00DB771C"/>
    <w:rsid w:val="00DD56AE"/>
    <w:rsid w:val="00DE500E"/>
    <w:rsid w:val="00F43EE4"/>
    <w:rsid w:val="00FB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65E34F-04DF-4EE4-9536-E2E8C99F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5B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5B5A"/>
    <w:pPr>
      <w:ind w:left="720"/>
      <w:contextualSpacing/>
    </w:pPr>
  </w:style>
  <w:style w:type="table" w:styleId="Tabela-Siatka">
    <w:name w:val="Table Grid"/>
    <w:basedOn w:val="Standardowy"/>
    <w:uiPriority w:val="39"/>
    <w:rsid w:val="0078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0"/>
    <w:rsid w:val="00785B5A"/>
    <w:rPr>
      <w:rFonts w:ascii="Times New Roman" w:eastAsia="Times New Roman" w:hAnsi="Times New Roman" w:cs="Times New Roman"/>
      <w:sz w:val="23"/>
      <w:szCs w:val="23"/>
      <w:shd w:val="clear" w:color="auto" w:fill="FFFFFF"/>
    </w:rPr>
  </w:style>
  <w:style w:type="paragraph" w:customStyle="1" w:styleId="Teksttreci60">
    <w:name w:val="Tekst treści (6)"/>
    <w:basedOn w:val="Normalny"/>
    <w:link w:val="Teksttreci6"/>
    <w:rsid w:val="00785B5A"/>
    <w:pPr>
      <w:shd w:val="clear" w:color="auto" w:fill="FFFFFF"/>
      <w:spacing w:after="0" w:line="0" w:lineRule="atLeast"/>
    </w:pPr>
    <w:rPr>
      <w:rFonts w:ascii="Times New Roman" w:eastAsia="Times New Roman" w:hAnsi="Times New Roman" w:cs="Times New Roman"/>
      <w:sz w:val="23"/>
      <w:szCs w:val="23"/>
    </w:rPr>
  </w:style>
  <w:style w:type="paragraph" w:styleId="Nagwek">
    <w:name w:val="header"/>
    <w:basedOn w:val="Normalny"/>
    <w:link w:val="NagwekZnak"/>
    <w:unhideWhenUsed/>
    <w:rsid w:val="00785B5A"/>
    <w:pPr>
      <w:tabs>
        <w:tab w:val="center" w:pos="4536"/>
        <w:tab w:val="right" w:pos="9072"/>
      </w:tabs>
      <w:spacing w:after="0" w:line="240" w:lineRule="auto"/>
    </w:pPr>
  </w:style>
  <w:style w:type="character" w:customStyle="1" w:styleId="NagwekZnak">
    <w:name w:val="Nagłówek Znak"/>
    <w:basedOn w:val="Domylnaczcionkaakapitu"/>
    <w:link w:val="Nagwek"/>
    <w:rsid w:val="00785B5A"/>
  </w:style>
  <w:style w:type="paragraph" w:styleId="Stopka">
    <w:name w:val="footer"/>
    <w:basedOn w:val="Normalny"/>
    <w:link w:val="StopkaZnak"/>
    <w:uiPriority w:val="99"/>
    <w:unhideWhenUsed/>
    <w:rsid w:val="00785B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B5A"/>
  </w:style>
  <w:style w:type="character" w:styleId="Hipercze">
    <w:name w:val="Hyperlink"/>
    <w:basedOn w:val="Domylnaczcionkaakapitu"/>
    <w:uiPriority w:val="99"/>
    <w:unhideWhenUsed/>
    <w:rsid w:val="00785B5A"/>
    <w:rPr>
      <w:color w:val="0563C1" w:themeColor="hyperlink"/>
      <w:u w:val="single"/>
    </w:rPr>
  </w:style>
  <w:style w:type="paragraph" w:customStyle="1" w:styleId="Default">
    <w:name w:val="Default"/>
    <w:rsid w:val="00F43E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ssip.gov.pl/node/7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13476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Mleczko</dc:creator>
  <cp:keywords/>
  <dc:description/>
  <cp:lastModifiedBy>Monika Górecka</cp:lastModifiedBy>
  <cp:revision>2</cp:revision>
  <dcterms:created xsi:type="dcterms:W3CDTF">2025-07-08T13:07:00Z</dcterms:created>
  <dcterms:modified xsi:type="dcterms:W3CDTF">2025-07-08T13:07:00Z</dcterms:modified>
</cp:coreProperties>
</file>