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25" w:rsidRPr="00537063" w:rsidRDefault="009C39F4" w:rsidP="009E6D27">
      <w:pPr>
        <w:spacing w:after="120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7063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AB7A67">
        <w:rPr>
          <w:rFonts w:ascii="Times New Roman" w:hAnsi="Times New Roman" w:cs="Times New Roman"/>
          <w:sz w:val="24"/>
          <w:szCs w:val="24"/>
        </w:rPr>
        <w:t>26 maja</w:t>
      </w:r>
      <w:r w:rsidR="00FC2364">
        <w:rPr>
          <w:rFonts w:ascii="Times New Roman" w:hAnsi="Times New Roman" w:cs="Times New Roman"/>
          <w:sz w:val="24"/>
          <w:szCs w:val="24"/>
        </w:rPr>
        <w:t xml:space="preserve"> </w:t>
      </w:r>
      <w:r w:rsidR="009B1695">
        <w:rPr>
          <w:rFonts w:ascii="Times New Roman" w:hAnsi="Times New Roman" w:cs="Times New Roman"/>
          <w:sz w:val="24"/>
          <w:szCs w:val="24"/>
        </w:rPr>
        <w:t xml:space="preserve">2025 roku </w:t>
      </w:r>
    </w:p>
    <w:p w:rsidR="00FC2364" w:rsidRDefault="00AB7A67" w:rsidP="00FC236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OAP-II.420.2.3</w:t>
      </w:r>
      <w:r w:rsidR="00FC2364">
        <w:rPr>
          <w:rFonts w:ascii="Times New Roman" w:hAnsi="Times New Roman" w:cs="Times New Roman"/>
          <w:sz w:val="24"/>
          <w:szCs w:val="24"/>
        </w:rPr>
        <w:t>.2025</w:t>
      </w:r>
    </w:p>
    <w:p w:rsidR="00FC2364" w:rsidRDefault="00FC2364" w:rsidP="00FC236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39F4" w:rsidRPr="00FC2364" w:rsidRDefault="007E5AD4" w:rsidP="00FC2364">
      <w:pPr>
        <w:spacing w:after="12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537063" w:rsidRDefault="009C39F4" w:rsidP="00FC2364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537063" w:rsidRDefault="009C39F4" w:rsidP="00FC2364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oraz Patroni </w:t>
      </w:r>
      <w:r w:rsidR="001C643B"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Pr="00537063">
        <w:rPr>
          <w:rFonts w:ascii="Times New Roman" w:hAnsi="Times New Roman" w:cs="Times New Roman"/>
          <w:b/>
          <w:sz w:val="24"/>
          <w:szCs w:val="24"/>
        </w:rPr>
        <w:t>raktyk</w:t>
      </w:r>
    </w:p>
    <w:p w:rsidR="009C39F4" w:rsidRPr="00537063" w:rsidRDefault="009C39F4" w:rsidP="00FC2364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aplikantów aplikacji prokuratorskiej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39F4" w:rsidRPr="00537063" w:rsidRDefault="009B1695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Zalecenia dotyczące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praktyk aplikant</w:t>
      </w:r>
      <w:r w:rsidR="00944825" w:rsidRPr="00537063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="007E5AD4" w:rsidRPr="00537063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A67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9C39F4" w:rsidRPr="00537063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463C" w:rsidRPr="009E6D27" w:rsidRDefault="009C39F4" w:rsidP="00BA76D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D27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9E6D27">
        <w:rPr>
          <w:rFonts w:ascii="Times New Roman" w:hAnsi="Times New Roman" w:cs="Times New Roman"/>
          <w:sz w:val="24"/>
          <w:szCs w:val="24"/>
        </w:rPr>
        <w:t xml:space="preserve">1 ust.2 </w:t>
      </w:r>
      <w:r w:rsidRPr="009E6D27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</w:t>
      </w:r>
      <w:r w:rsidR="0087730E" w:rsidRPr="009E6D27">
        <w:rPr>
          <w:rFonts w:ascii="Times New Roman" w:hAnsi="Times New Roman" w:cs="Times New Roman"/>
          <w:sz w:val="24"/>
          <w:szCs w:val="24"/>
        </w:rPr>
        <w:br/>
      </w:r>
      <w:r w:rsidRPr="009E6D27">
        <w:rPr>
          <w:rFonts w:ascii="Times New Roman" w:hAnsi="Times New Roman" w:cs="Times New Roman"/>
          <w:sz w:val="24"/>
          <w:szCs w:val="24"/>
        </w:rPr>
        <w:t xml:space="preserve"> i Prokuratury w Krakowie Nr </w:t>
      </w:r>
      <w:r w:rsidR="005052C3" w:rsidRPr="009E6D27">
        <w:rPr>
          <w:rFonts w:ascii="Times New Roman" w:hAnsi="Times New Roman" w:cs="Times New Roman"/>
          <w:sz w:val="24"/>
          <w:szCs w:val="24"/>
        </w:rPr>
        <w:t>539</w:t>
      </w:r>
      <w:r w:rsidRPr="009E6D27">
        <w:rPr>
          <w:rFonts w:ascii="Times New Roman" w:hAnsi="Times New Roman" w:cs="Times New Roman"/>
          <w:sz w:val="24"/>
          <w:szCs w:val="24"/>
        </w:rPr>
        <w:t>/20</w:t>
      </w:r>
      <w:r w:rsidR="005052C3" w:rsidRPr="009E6D27">
        <w:rPr>
          <w:rFonts w:ascii="Times New Roman" w:hAnsi="Times New Roman" w:cs="Times New Roman"/>
          <w:sz w:val="24"/>
          <w:szCs w:val="24"/>
        </w:rPr>
        <w:t>21</w:t>
      </w:r>
      <w:r w:rsidRPr="009E6D27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9E6D27">
        <w:rPr>
          <w:rFonts w:ascii="Times New Roman" w:hAnsi="Times New Roman" w:cs="Times New Roman"/>
          <w:sz w:val="24"/>
          <w:szCs w:val="24"/>
        </w:rPr>
        <w:t>27 października</w:t>
      </w:r>
      <w:r w:rsidRPr="009E6D27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9E6D27">
        <w:rPr>
          <w:rFonts w:ascii="Times New Roman" w:hAnsi="Times New Roman" w:cs="Times New Roman"/>
          <w:sz w:val="24"/>
          <w:szCs w:val="24"/>
        </w:rPr>
        <w:t>21</w:t>
      </w:r>
      <w:r w:rsidRPr="009E6D27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9E6D27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9E6D27">
        <w:rPr>
          <w:rFonts w:ascii="Times New Roman" w:hAnsi="Times New Roman" w:cs="Times New Roman"/>
          <w:sz w:val="24"/>
          <w:szCs w:val="24"/>
        </w:rPr>
        <w:t>prokuratorskiej, uprzejmie przedstawiam szczegółowy zakres tematyczny, który powinien być przedmiotem praktyk aplikantów</w:t>
      </w:r>
      <w:r w:rsidR="00EF463C" w:rsidRPr="009E6D27">
        <w:rPr>
          <w:rFonts w:ascii="Times New Roman" w:hAnsi="Times New Roman" w:cs="Times New Roman"/>
          <w:sz w:val="24"/>
          <w:szCs w:val="24"/>
        </w:rPr>
        <w:t xml:space="preserve"> XV rocznika</w:t>
      </w:r>
      <w:r w:rsidRPr="009E6D27">
        <w:rPr>
          <w:rFonts w:ascii="Times New Roman" w:hAnsi="Times New Roman" w:cs="Times New Roman"/>
          <w:sz w:val="24"/>
          <w:szCs w:val="24"/>
        </w:rPr>
        <w:t xml:space="preserve"> aplikacji prokuratorskiej odbywanych w dniach od </w:t>
      </w:r>
      <w:r w:rsidR="00EF463C" w:rsidRPr="009E6D27">
        <w:rPr>
          <w:rFonts w:ascii="Times New Roman" w:hAnsi="Times New Roman" w:cs="Times New Roman"/>
          <w:sz w:val="24"/>
          <w:szCs w:val="24"/>
        </w:rPr>
        <w:t>2</w:t>
      </w:r>
      <w:r w:rsidR="006F3772">
        <w:rPr>
          <w:rFonts w:ascii="Times New Roman" w:hAnsi="Times New Roman" w:cs="Times New Roman"/>
          <w:sz w:val="24"/>
          <w:szCs w:val="24"/>
        </w:rPr>
        <w:t xml:space="preserve">2 do 26 września 2025 roku w prokuraturach okręgowych ( komórki organizacyjne realizujące zadania obrotu prawego z zagranicą)  oraz w okresie od 29 września 2025 roku do 10 października 2025 roku w prokuraturach rejonowych. </w:t>
      </w:r>
    </w:p>
    <w:p w:rsidR="00A51522" w:rsidRPr="00A51522" w:rsidRDefault="009E6D27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52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="006F3772" w:rsidRPr="00A51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praktyki w prokuraturach okręgowych jest </w:t>
      </w:r>
      <w:r w:rsidR="00A51522" w:rsidRPr="00A51522">
        <w:rPr>
          <w:rFonts w:ascii="Times New Roman" w:hAnsi="Times New Roman" w:cs="Times New Roman"/>
          <w:sz w:val="24"/>
          <w:szCs w:val="24"/>
        </w:rPr>
        <w:t>utrwalenie umiejętności sporządzania wniosku o międzynarodową pomoc prawną i innych pism procesowych kierowanych w obrocie prawnym z zagranicą oraz zapoznanie aplikantów z metodyką postępowania karnego w stosunkach międzynarodowych</w:t>
      </w:r>
      <w:r w:rsidRPr="00A51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1522" w:rsidRDefault="00A51522" w:rsidP="00BA76D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praktyki w prokuraturach rejonowych jest </w:t>
      </w:r>
      <w:r w:rsidRPr="00A51522">
        <w:rPr>
          <w:rFonts w:ascii="Times New Roman" w:hAnsi="Times New Roman" w:cs="Times New Roman"/>
          <w:sz w:val="24"/>
          <w:szCs w:val="24"/>
        </w:rPr>
        <w:t>sporządzanie projektów środków odwoławczych, zapoznanie aplikantów z czynnościami prokuratora w postępowaniu odwoławczym, a także udział w rozprawach odwoławczych.</w:t>
      </w:r>
    </w:p>
    <w:p w:rsidR="00D719FF" w:rsidRPr="00D719FF" w:rsidRDefault="00D719FF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praktyk w prokuratorach okręgowych winni zadbać, aby aplikanci:</w:t>
      </w:r>
    </w:p>
    <w:p w:rsidR="00D719FF" w:rsidRPr="00D719FF" w:rsidRDefault="00D719FF" w:rsidP="00BA76D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zapoznali się z metodyką postępowania karnego w stosunkach międzynarodowych,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metodyką sporządzania wniosków o wszczęcie bądź przejęcie ścigania; </w:t>
      </w:r>
    </w:p>
    <w:p w:rsidR="00D719FF" w:rsidRPr="00D719FF" w:rsidRDefault="00D719FF" w:rsidP="00BA76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719FF">
        <w:rPr>
          <w:rFonts w:ascii="Times New Roman" w:eastAsia="Times New Roman" w:hAnsi="Times New Roman" w:cs="Times New Roman"/>
          <w:sz w:val="24"/>
          <w:szCs w:val="24"/>
          <w:lang w:eastAsia="pl-PL"/>
        </w:rPr>
        <w:t>- o</w:t>
      </w:r>
      <w:r w:rsidRPr="00D719FF">
        <w:rPr>
          <w:rFonts w:ascii="Times New Roman" w:hAnsi="Times New Roman" w:cs="Times New Roman"/>
          <w:sz w:val="24"/>
          <w:szCs w:val="24"/>
        </w:rPr>
        <w:t>pracowali</w:t>
      </w:r>
      <w:r>
        <w:rPr>
          <w:rFonts w:ascii="Times New Roman" w:hAnsi="Times New Roman" w:cs="Times New Roman"/>
          <w:sz w:val="24"/>
          <w:szCs w:val="24"/>
        </w:rPr>
        <w:t>, w miarę możliwości,  projekty</w:t>
      </w:r>
      <w:r w:rsidRPr="00D719FF">
        <w:rPr>
          <w:rFonts w:ascii="Times New Roman" w:hAnsi="Times New Roman" w:cs="Times New Roman"/>
          <w:sz w:val="24"/>
          <w:szCs w:val="24"/>
        </w:rPr>
        <w:t xml:space="preserve"> 2 wniosków  o międzynarodową pomoc prawną, w tym jeden do Wielkiej Brytanii;</w:t>
      </w:r>
    </w:p>
    <w:p w:rsidR="00D719FF" w:rsidRPr="00D719FF" w:rsidRDefault="00D719FF" w:rsidP="00BA76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719FF">
        <w:rPr>
          <w:rFonts w:ascii="Times New Roman" w:hAnsi="Times New Roman" w:cs="Times New Roman"/>
          <w:sz w:val="24"/>
          <w:szCs w:val="24"/>
        </w:rPr>
        <w:lastRenderedPageBreak/>
        <w:t xml:space="preserve">- zapoznali się  co najmniej z aktami 2 spraw dotyczących wykonania ENA lub ekstradycji;  </w:t>
      </w:r>
    </w:p>
    <w:p w:rsidR="00D719FF" w:rsidRPr="00D719FF" w:rsidRDefault="00D719FF" w:rsidP="00BA76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719FF">
        <w:rPr>
          <w:rFonts w:ascii="Times New Roman" w:hAnsi="Times New Roman" w:cs="Times New Roman"/>
          <w:sz w:val="24"/>
          <w:szCs w:val="24"/>
        </w:rPr>
        <w:t xml:space="preserve">- dokonali analizy co najmniej 2 </w:t>
      </w:r>
      <w:r>
        <w:rPr>
          <w:rFonts w:ascii="Times New Roman" w:hAnsi="Times New Roman" w:cs="Times New Roman"/>
          <w:sz w:val="24"/>
          <w:szCs w:val="24"/>
        </w:rPr>
        <w:t>europejskich nakazów dochodzeniowych,</w:t>
      </w:r>
      <w:r w:rsidRPr="00D719FF">
        <w:rPr>
          <w:rFonts w:ascii="Times New Roman" w:hAnsi="Times New Roman" w:cs="Times New Roman"/>
          <w:sz w:val="24"/>
          <w:szCs w:val="24"/>
        </w:rPr>
        <w:t xml:space="preserve"> które wpłynęły z prokuratury rejonowej pod kątem poprawności ich sporządzenia i przygotowali projekty pism przewodnich kierowanych do organu wykonującego; </w:t>
      </w:r>
    </w:p>
    <w:p w:rsidR="00D719FF" w:rsidRPr="00D719FF" w:rsidRDefault="00D719FF" w:rsidP="00BA76D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9FF">
        <w:rPr>
          <w:rFonts w:ascii="Times New Roman" w:hAnsi="Times New Roman" w:cs="Times New Roman"/>
          <w:sz w:val="24"/>
          <w:szCs w:val="24"/>
        </w:rPr>
        <w:t>- w zależności od rodzaju spraw pozostających w referacie prokuratora patrona opracowali projekty co najmniej 2 innych pism procesowych kierowan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D719FF">
        <w:rPr>
          <w:rFonts w:ascii="Times New Roman" w:hAnsi="Times New Roman" w:cs="Times New Roman"/>
          <w:sz w:val="24"/>
          <w:szCs w:val="24"/>
        </w:rPr>
        <w:t xml:space="preserve"> w obrocie prawnym z zagranicą. </w:t>
      </w:r>
    </w:p>
    <w:p w:rsidR="00D719FF" w:rsidRPr="00D719FF" w:rsidRDefault="00D719FF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praktyk w prokuraturach rejonowych winni zadbać, aby aplikanci:</w:t>
      </w:r>
    </w:p>
    <w:p w:rsidR="00D719FF" w:rsidRPr="00D719FF" w:rsidRDefault="00D719FF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opracowali co najmniej 4 projekty apelacji w sprawie karnej; </w:t>
      </w:r>
    </w:p>
    <w:p w:rsidR="00D719FF" w:rsidRPr="00D719FF" w:rsidRDefault="00D719FF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9FF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opracowali co najmniej 4 stanowiska prokuratora o odstąpieniu od wywiedzenia apelacji;</w:t>
      </w:r>
    </w:p>
    <w:p w:rsidR="00D719FF" w:rsidRPr="00D719FF" w:rsidRDefault="00D719FF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opracowali projekty co najmniej 2 zażaleń w sprawie karnej; </w:t>
      </w:r>
    </w:p>
    <w:p w:rsidR="00D719FF" w:rsidRPr="00D719FF" w:rsidRDefault="00D719FF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9FF">
        <w:rPr>
          <w:rFonts w:ascii="Times New Roman" w:eastAsia="Times New Roman" w:hAnsi="Times New Roman" w:cs="Times New Roman"/>
          <w:sz w:val="24"/>
          <w:szCs w:val="24"/>
          <w:lang w:eastAsia="pl-PL"/>
        </w:rPr>
        <w:t>- zapoznali się z aktami co najmniej 2 spraw karnych, w których prokuratorzy brali udział w postępowaniu odwoławczym;</w:t>
      </w:r>
    </w:p>
    <w:p w:rsidR="00D719FF" w:rsidRPr="00D719FF" w:rsidRDefault="00D719FF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mieli możliwość udziału w co najmniej 2 rozprawach odwoławczych. </w:t>
      </w:r>
    </w:p>
    <w:p w:rsidR="00D719FF" w:rsidRPr="00D719FF" w:rsidRDefault="00D719FF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Uprzejmie informuję, że przedmiotem sprawdzianu po 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zjeździe</w:t>
      </w:r>
      <w:r w:rsidRPr="00D71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sporządzenie  projektu apelacji w sprawie karnej albo stanowiska w sprawie odstąpienia od jej sporządzenia. Dlatego ważnym jest, aby aplikanci w trakcie praktyk nabyli tę umiejętność w jak najwyższym stopniu. </w:t>
      </w:r>
    </w:p>
    <w:p w:rsidR="00D719FF" w:rsidRPr="00D719FF" w:rsidRDefault="00D719FF" w:rsidP="00BA7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9FF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powyżej wskazanych czynności aplikanci powinni uczestniczyć w oględzinach miejsc zdarzenia oraz rozprawach i posiedzeniach sądu (również w charakterze oskarżycieli publicznych).</w:t>
      </w:r>
      <w:r w:rsidRPr="00D719FF">
        <w:rPr>
          <w:rFonts w:ascii="Times New Roman" w:hAnsi="Times New Roman" w:cs="Times New Roman"/>
          <w:sz w:val="24"/>
          <w:szCs w:val="24"/>
        </w:rPr>
        <w:t xml:space="preserve"> Powyższe nie wyklucza możliwości powierzania aplikantom również innych zadań wynikających z bieżącego toku pracy prokuratorski</w:t>
      </w:r>
      <w:r>
        <w:rPr>
          <w:rFonts w:ascii="Times New Roman" w:hAnsi="Times New Roman" w:cs="Times New Roman"/>
          <w:sz w:val="24"/>
          <w:szCs w:val="24"/>
        </w:rPr>
        <w:t xml:space="preserve">ej, zwłaszcza takich, </w:t>
      </w:r>
      <w:r w:rsidRPr="00D719FF">
        <w:rPr>
          <w:rFonts w:ascii="Times New Roman" w:hAnsi="Times New Roman" w:cs="Times New Roman"/>
          <w:sz w:val="24"/>
          <w:szCs w:val="24"/>
        </w:rPr>
        <w:t>z którymi dotychczas jeszcze się nie zetknęli lub, w których nie uczestniczyli.</w:t>
      </w:r>
    </w:p>
    <w:p w:rsidR="003E2316" w:rsidRPr="00BA76DF" w:rsidRDefault="00D719FF" w:rsidP="00BA76DF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9FF">
        <w:rPr>
          <w:rFonts w:ascii="Times New Roman" w:hAnsi="Times New Roman" w:cs="Times New Roman"/>
          <w:sz w:val="24"/>
          <w:szCs w:val="24"/>
        </w:rPr>
        <w:t>Proszę zwracać uwagę nie tylko na merytoryczną trafność i formalną poprawność sporządzanych przez aplikantów pism, ale także na rodzaj użytej argumentacji, logikę i poprawność językową</w:t>
      </w:r>
    </w:p>
    <w:p w:rsidR="001C643B" w:rsidRPr="009E6D27" w:rsidRDefault="001C643B" w:rsidP="00BA76D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39F4" w:rsidRPr="00537063" w:rsidRDefault="009C39F4" w:rsidP="00FF2587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537063" w:rsidRDefault="00784999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BD5D54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9C39F4" w:rsidRPr="00537063">
        <w:rPr>
          <w:rFonts w:ascii="Times New Roman" w:hAnsi="Times New Roman" w:cs="Times New Roman"/>
          <w:b/>
          <w:sz w:val="24"/>
          <w:szCs w:val="24"/>
        </w:rPr>
        <w:t>rokurator</w:t>
      </w:r>
    </w:p>
    <w:p w:rsid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A76D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3CAF" w:rsidRPr="00537063" w:rsidRDefault="003E14E1" w:rsidP="007849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t>Załącznik do zaleceń</w:t>
      </w:r>
      <w:r w:rsidR="00BA76DF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19</w:t>
      </w:r>
      <w:r w:rsidR="00FF2587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 X</w:t>
      </w:r>
      <w:r w:rsidR="00784999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5370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2587" w:rsidRPr="00BA76DF" w:rsidRDefault="00BA76DF" w:rsidP="00BA76D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DF">
        <w:rPr>
          <w:rFonts w:ascii="Times New Roman" w:hAnsi="Times New Roman" w:cs="Times New Roman"/>
          <w:sz w:val="24"/>
          <w:szCs w:val="24"/>
        </w:rPr>
        <w:t>Przedmiotem 19</w:t>
      </w:r>
      <w:r w:rsidR="00020FC2" w:rsidRPr="00BA76DF">
        <w:rPr>
          <w:rFonts w:ascii="Times New Roman" w:hAnsi="Times New Roman" w:cs="Times New Roman"/>
          <w:sz w:val="24"/>
          <w:szCs w:val="24"/>
        </w:rPr>
        <w:t xml:space="preserve"> </w:t>
      </w:r>
      <w:r w:rsidR="000A30AD" w:rsidRPr="00BA76DF">
        <w:rPr>
          <w:rFonts w:ascii="Times New Roman" w:hAnsi="Times New Roman" w:cs="Times New Roman"/>
          <w:sz w:val="24"/>
          <w:szCs w:val="24"/>
        </w:rPr>
        <w:t xml:space="preserve">zjazdu aplikacji </w:t>
      </w:r>
      <w:r w:rsidR="00FF2587" w:rsidRPr="00BA76DF">
        <w:rPr>
          <w:rFonts w:ascii="Times New Roman" w:hAnsi="Times New Roman" w:cs="Times New Roman"/>
          <w:sz w:val="24"/>
          <w:szCs w:val="24"/>
        </w:rPr>
        <w:t>prokuratorskie</w:t>
      </w:r>
      <w:r w:rsidR="00020FC2" w:rsidRPr="00BA76DF">
        <w:rPr>
          <w:rFonts w:ascii="Times New Roman" w:hAnsi="Times New Roman" w:cs="Times New Roman"/>
          <w:sz w:val="24"/>
          <w:szCs w:val="24"/>
        </w:rPr>
        <w:t xml:space="preserve">j, który odbędzie się w dniach </w:t>
      </w:r>
      <w:r w:rsidR="0028773E" w:rsidRPr="00BA76DF">
        <w:rPr>
          <w:rFonts w:ascii="Times New Roman" w:hAnsi="Times New Roman" w:cs="Times New Roman"/>
          <w:sz w:val="24"/>
          <w:szCs w:val="24"/>
        </w:rPr>
        <w:t>od</w:t>
      </w:r>
      <w:r w:rsidRPr="00BA76DF">
        <w:rPr>
          <w:rFonts w:ascii="Times New Roman" w:hAnsi="Times New Roman" w:cs="Times New Roman"/>
          <w:sz w:val="24"/>
          <w:szCs w:val="24"/>
        </w:rPr>
        <w:t xml:space="preserve"> 15-19 września 2025 roku </w:t>
      </w:r>
      <w:r w:rsidR="00FF2587" w:rsidRPr="00BA76DF">
        <w:rPr>
          <w:rFonts w:ascii="Times New Roman" w:hAnsi="Times New Roman" w:cs="Times New Roman"/>
          <w:sz w:val="24"/>
          <w:szCs w:val="24"/>
        </w:rPr>
        <w:t>będzie:</w:t>
      </w:r>
    </w:p>
    <w:p w:rsidR="00BA76DF" w:rsidRPr="00BA76DF" w:rsidRDefault="00BA76DF" w:rsidP="00BA76DF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>1.Postępowanie w sprawach karnych ze stosunków międzynarodowych, z uwzględnieniem:</w:t>
      </w:r>
    </w:p>
    <w:p w:rsidR="00BA76DF" w:rsidRPr="00BA76DF" w:rsidRDefault="00BA76DF" w:rsidP="00BA76DF">
      <w:pPr>
        <w:numPr>
          <w:ilvl w:val="0"/>
          <w:numId w:val="26"/>
        </w:numPr>
        <w:spacing w:before="240"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hAnsi="Times New Roman" w:cs="Times New Roman"/>
          <w:sz w:val="24"/>
          <w:szCs w:val="24"/>
          <w:lang w:eastAsia="pl-PL"/>
        </w:rPr>
        <w:t>ź</w:t>
      </w: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>ródeł prawa i ich hierarchii,</w:t>
      </w:r>
    </w:p>
    <w:p w:rsidR="00BA76DF" w:rsidRPr="00BA76DF" w:rsidRDefault="00BA76DF" w:rsidP="00BA76DF">
      <w:pPr>
        <w:numPr>
          <w:ilvl w:val="0"/>
          <w:numId w:val="26"/>
        </w:numPr>
        <w:spacing w:before="240"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zasad obowiązujących w obrocie prawnym z zagranicą,</w:t>
      </w:r>
    </w:p>
    <w:p w:rsidR="00BA76DF" w:rsidRPr="00BA76DF" w:rsidRDefault="00BA76DF" w:rsidP="00BA76DF">
      <w:pPr>
        <w:numPr>
          <w:ilvl w:val="0"/>
          <w:numId w:val="26"/>
        </w:numPr>
        <w:spacing w:before="240"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przeglądu instrumentów obrotu prawnego z zagranicą,</w:t>
      </w:r>
    </w:p>
    <w:p w:rsidR="00BA76DF" w:rsidRPr="00BA76DF" w:rsidRDefault="00BA76DF" w:rsidP="00BA76DF">
      <w:pPr>
        <w:numPr>
          <w:ilvl w:val="0"/>
          <w:numId w:val="26"/>
        </w:numPr>
        <w:spacing w:before="240"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>immunitetów dyplomatycznych i konsularnych,</w:t>
      </w:r>
    </w:p>
    <w:p w:rsidR="00BA76DF" w:rsidRPr="00BA76DF" w:rsidRDefault="00BA76DF" w:rsidP="00BA76DF">
      <w:pPr>
        <w:numPr>
          <w:ilvl w:val="0"/>
          <w:numId w:val="26"/>
        </w:numPr>
        <w:spacing w:before="240"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>instytucji wspierających współpracę międzynarodową w sprawach karnych (Interpol, Europol, Eurojust, Europejska Sieć Sądowa, OLAF).</w:t>
      </w:r>
    </w:p>
    <w:p w:rsidR="00BA76DF" w:rsidRPr="00BA76DF" w:rsidRDefault="00BA76DF" w:rsidP="00BA76DF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2. Międzynarodowa pomoc prawna i doręczenia w sprawach karnych. Wspólne zespoły śledcze. </w:t>
      </w:r>
    </w:p>
    <w:p w:rsidR="00BA76DF" w:rsidRPr="00BA76DF" w:rsidRDefault="00BA76DF" w:rsidP="00BA76D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3. Stosowanie zasady </w:t>
      </w:r>
      <w:r w:rsidRPr="00BA76DF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ne bis in idem</w:t>
      </w: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 rozwiązywanie konfliktów jurysdykcyjnych w państwach członkowskich Unii Europejskiej. </w:t>
      </w:r>
    </w:p>
    <w:p w:rsidR="00BA76DF" w:rsidRPr="00BA76DF" w:rsidRDefault="00BA76DF" w:rsidP="00BA76DF">
      <w:pPr>
        <w:keepNext/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>4. Przejęcie i przekazanie ścigania karnego. Wnioski o wszczęcie ścigania.</w:t>
      </w:r>
    </w:p>
    <w:p w:rsidR="00BA76DF" w:rsidRPr="00BA76DF" w:rsidRDefault="00BA76DF" w:rsidP="00BA76D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eastAsia="Times New Roman" w:hAnsi="Times New Roman" w:cs="Times New Roman"/>
          <w:sz w:val="24"/>
          <w:szCs w:val="24"/>
          <w:lang w:eastAsia="pl-PL"/>
        </w:rPr>
        <w:t>5. Europejski nakaz aresztowania i System Informacyjny Schengen (SIS). Poszukiwania międzynarodowe i ekstradycja.</w:t>
      </w:r>
    </w:p>
    <w:p w:rsidR="00BA76DF" w:rsidRPr="00BA76DF" w:rsidRDefault="00BA76DF" w:rsidP="00BA76D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6DF">
        <w:rPr>
          <w:rFonts w:ascii="Times New Roman" w:eastAsia="Times New Roman" w:hAnsi="Times New Roman" w:cs="Times New Roman"/>
          <w:sz w:val="24"/>
          <w:szCs w:val="24"/>
          <w:lang w:eastAsia="pl-PL"/>
        </w:rPr>
        <w:t>6. Pozostałe instrumenty współpracy międzynarodowej w sprawach karnych, z uwzględnieniem instrumentów opartych na zasadzie wzajemnego uznawania orzeczeń w Unii Europejskiej (wzajemne zatrzymywanie dowodów oraz wykonywanie postanowień o zabezpieczeniu mienia, wzajemne wykonywanie środków zapobiegawczych, wzajemne wykonywanie europejskiego nakazu ochrony i in.).</w:t>
      </w:r>
    </w:p>
    <w:p w:rsidR="00BA76DF" w:rsidRDefault="00BA76DF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0AD" w:rsidRDefault="000A30AD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CAF" w:rsidRPr="002818DB" w:rsidRDefault="00093CAF" w:rsidP="002818DB">
      <w:pPr>
        <w:jc w:val="both"/>
        <w:rPr>
          <w:b/>
        </w:rPr>
      </w:pPr>
    </w:p>
    <w:sectPr w:rsidR="00093CAF" w:rsidRPr="002818DB" w:rsidSect="00734B8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DA" w:rsidRDefault="00EA2DDA">
      <w:pPr>
        <w:spacing w:after="0" w:line="240" w:lineRule="auto"/>
      </w:pPr>
      <w:r>
        <w:separator/>
      </w:r>
    </w:p>
  </w:endnote>
  <w:endnote w:type="continuationSeparator" w:id="0">
    <w:p w:rsidR="00EA2DDA" w:rsidRDefault="00EA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61324">
      <w:rPr>
        <w:noProof/>
      </w:rPr>
      <w:t>3</w:t>
    </w:r>
    <w:r>
      <w:rPr>
        <w:noProof/>
      </w:rPr>
      <w:fldChar w:fldCharType="end"/>
    </w:r>
  </w:p>
  <w:p w:rsidR="00734B8B" w:rsidRDefault="00734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734B8B" w:rsidTr="00734B8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734B8B" w:rsidRPr="0074505E" w:rsidRDefault="00734B8B" w:rsidP="00734B8B">
          <w:pPr>
            <w:pStyle w:val="Stopka"/>
            <w:rPr>
              <w:sz w:val="4"/>
              <w:szCs w:val="4"/>
            </w:rPr>
          </w:pPr>
        </w:p>
      </w:tc>
    </w:tr>
  </w:tbl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734B8B" w:rsidRDefault="00734B8B" w:rsidP="0073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DA" w:rsidRDefault="00EA2DDA">
      <w:pPr>
        <w:spacing w:after="0" w:line="240" w:lineRule="auto"/>
      </w:pPr>
      <w:r>
        <w:separator/>
      </w:r>
    </w:p>
  </w:footnote>
  <w:footnote w:type="continuationSeparator" w:id="0">
    <w:p w:rsidR="00EA2DDA" w:rsidRDefault="00EA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Pr="009B38B3" w:rsidRDefault="00734B8B" w:rsidP="00734B8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 w:rsidP="00734B8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734B8B" w:rsidRDefault="00734B8B" w:rsidP="00734B8B">
    <w:pPr>
      <w:pStyle w:val="Nagwek"/>
      <w:ind w:right="4959"/>
      <w:jc w:val="center"/>
      <w:rPr>
        <w:b/>
      </w:rPr>
    </w:pPr>
  </w:p>
  <w:p w:rsidR="00734B8B" w:rsidRPr="009E7ADE" w:rsidRDefault="00734B8B" w:rsidP="00734B8B">
    <w:pPr>
      <w:pStyle w:val="Nagwek"/>
      <w:ind w:left="-851" w:right="5526"/>
      <w:jc w:val="center"/>
      <w:rPr>
        <w:b/>
        <w:sz w:val="8"/>
        <w:szCs w:val="8"/>
      </w:rPr>
    </w:pPr>
  </w:p>
  <w:p w:rsidR="00734B8B" w:rsidRPr="00551ABF" w:rsidRDefault="00734B8B" w:rsidP="00734B8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734B8B" w:rsidRDefault="00734B8B" w:rsidP="00734B8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734B8B" w:rsidRPr="00D021CB" w:rsidRDefault="00734B8B" w:rsidP="00734B8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F40"/>
    <w:multiLevelType w:val="hybridMultilevel"/>
    <w:tmpl w:val="B6EC158A"/>
    <w:lvl w:ilvl="0" w:tplc="6FACB3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143504"/>
    <w:multiLevelType w:val="hybridMultilevel"/>
    <w:tmpl w:val="74AA3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27A"/>
    <w:multiLevelType w:val="hybridMultilevel"/>
    <w:tmpl w:val="4768F518"/>
    <w:lvl w:ilvl="0" w:tplc="805CEFC0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37D66D0"/>
    <w:multiLevelType w:val="hybridMultilevel"/>
    <w:tmpl w:val="47863C1C"/>
    <w:lvl w:ilvl="0" w:tplc="0974F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64BA"/>
    <w:multiLevelType w:val="hybridMultilevel"/>
    <w:tmpl w:val="156C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1694D"/>
    <w:multiLevelType w:val="hybridMultilevel"/>
    <w:tmpl w:val="1E3A1F86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459F4"/>
    <w:multiLevelType w:val="hybridMultilevel"/>
    <w:tmpl w:val="9BD231F8"/>
    <w:lvl w:ilvl="0" w:tplc="7994968A">
      <w:start w:val="1"/>
      <w:numFmt w:val="upperRoman"/>
      <w:lvlText w:val="%1."/>
      <w:lvlJc w:val="left"/>
      <w:pPr>
        <w:ind w:left="1287" w:hanging="72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D31E3"/>
    <w:multiLevelType w:val="hybridMultilevel"/>
    <w:tmpl w:val="7D6408FC"/>
    <w:lvl w:ilvl="0" w:tplc="DB667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426F3"/>
    <w:multiLevelType w:val="hybridMultilevel"/>
    <w:tmpl w:val="CA20E0DC"/>
    <w:lvl w:ilvl="0" w:tplc="97587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72147"/>
    <w:multiLevelType w:val="hybridMultilevel"/>
    <w:tmpl w:val="A32C4032"/>
    <w:lvl w:ilvl="0" w:tplc="E4A07C9E">
      <w:start w:val="1"/>
      <w:numFmt w:val="decimal"/>
      <w:pStyle w:val="Listaosb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4"/>
  </w:num>
  <w:num w:numId="15">
    <w:abstractNumId w:val="17"/>
  </w:num>
  <w:num w:numId="16">
    <w:abstractNumId w:val="19"/>
  </w:num>
  <w:num w:numId="17">
    <w:abstractNumId w:val="20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20FC2"/>
    <w:rsid w:val="0004273E"/>
    <w:rsid w:val="0004358B"/>
    <w:rsid w:val="000641D1"/>
    <w:rsid w:val="0007004D"/>
    <w:rsid w:val="00073A9E"/>
    <w:rsid w:val="000937D0"/>
    <w:rsid w:val="00093CAF"/>
    <w:rsid w:val="000A30AD"/>
    <w:rsid w:val="000A5846"/>
    <w:rsid w:val="000B4076"/>
    <w:rsid w:val="00144924"/>
    <w:rsid w:val="001C643B"/>
    <w:rsid w:val="001D00EF"/>
    <w:rsid w:val="002160B3"/>
    <w:rsid w:val="00232961"/>
    <w:rsid w:val="00252D1A"/>
    <w:rsid w:val="002818DB"/>
    <w:rsid w:val="0028773E"/>
    <w:rsid w:val="002E0921"/>
    <w:rsid w:val="00313D8C"/>
    <w:rsid w:val="00314FB8"/>
    <w:rsid w:val="00344B32"/>
    <w:rsid w:val="003E14E1"/>
    <w:rsid w:val="003E2316"/>
    <w:rsid w:val="00435CDB"/>
    <w:rsid w:val="00444484"/>
    <w:rsid w:val="00476323"/>
    <w:rsid w:val="00482F4C"/>
    <w:rsid w:val="004B7502"/>
    <w:rsid w:val="005052C3"/>
    <w:rsid w:val="00537063"/>
    <w:rsid w:val="00560C39"/>
    <w:rsid w:val="005A3B58"/>
    <w:rsid w:val="005C1373"/>
    <w:rsid w:val="006241BE"/>
    <w:rsid w:val="00652DBC"/>
    <w:rsid w:val="006A55A4"/>
    <w:rsid w:val="006F3772"/>
    <w:rsid w:val="00727C2B"/>
    <w:rsid w:val="00734B8B"/>
    <w:rsid w:val="00766977"/>
    <w:rsid w:val="0078274D"/>
    <w:rsid w:val="00784999"/>
    <w:rsid w:val="007E2FC5"/>
    <w:rsid w:val="007E5AD4"/>
    <w:rsid w:val="008177FC"/>
    <w:rsid w:val="0087730E"/>
    <w:rsid w:val="008A23BF"/>
    <w:rsid w:val="008A505E"/>
    <w:rsid w:val="008C070F"/>
    <w:rsid w:val="008F6BF6"/>
    <w:rsid w:val="00944825"/>
    <w:rsid w:val="009508D5"/>
    <w:rsid w:val="00986AAD"/>
    <w:rsid w:val="00987268"/>
    <w:rsid w:val="009B1695"/>
    <w:rsid w:val="009C0B66"/>
    <w:rsid w:val="009C39F4"/>
    <w:rsid w:val="009D2210"/>
    <w:rsid w:val="009E6D27"/>
    <w:rsid w:val="00A10440"/>
    <w:rsid w:val="00A51522"/>
    <w:rsid w:val="00A53709"/>
    <w:rsid w:val="00AB7A67"/>
    <w:rsid w:val="00AC5D7C"/>
    <w:rsid w:val="00B61324"/>
    <w:rsid w:val="00BA6DAC"/>
    <w:rsid w:val="00BA76DF"/>
    <w:rsid w:val="00BB245F"/>
    <w:rsid w:val="00BC1096"/>
    <w:rsid w:val="00BD5D54"/>
    <w:rsid w:val="00C51E4E"/>
    <w:rsid w:val="00C568A4"/>
    <w:rsid w:val="00CB6F41"/>
    <w:rsid w:val="00CD3005"/>
    <w:rsid w:val="00D055CC"/>
    <w:rsid w:val="00D25D71"/>
    <w:rsid w:val="00D719FF"/>
    <w:rsid w:val="00D95C61"/>
    <w:rsid w:val="00E46F94"/>
    <w:rsid w:val="00E512BB"/>
    <w:rsid w:val="00E81285"/>
    <w:rsid w:val="00E938F3"/>
    <w:rsid w:val="00EA2DDA"/>
    <w:rsid w:val="00ED39E2"/>
    <w:rsid w:val="00EF463C"/>
    <w:rsid w:val="00F05368"/>
    <w:rsid w:val="00F866FC"/>
    <w:rsid w:val="00FC2364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537063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2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37063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customStyle="1" w:styleId="Listaosb">
    <w:name w:val="Lista osób"/>
    <w:basedOn w:val="Normalny"/>
    <w:qFormat/>
    <w:rsid w:val="00BA6DAC"/>
    <w:pPr>
      <w:numPr>
        <w:numId w:val="2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2025-05-27T06:37:00Z</dcterms:created>
  <dcterms:modified xsi:type="dcterms:W3CDTF">2025-05-27T06:37:00Z</dcterms:modified>
</cp:coreProperties>
</file>