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5" w:rsidRPr="00537063" w:rsidRDefault="009C39F4" w:rsidP="009E6D27">
      <w:pPr>
        <w:spacing w:after="12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EF463C">
        <w:rPr>
          <w:rFonts w:ascii="Times New Roman" w:hAnsi="Times New Roman" w:cs="Times New Roman"/>
          <w:sz w:val="24"/>
          <w:szCs w:val="24"/>
        </w:rPr>
        <w:t>12 marca</w:t>
      </w:r>
      <w:r w:rsidR="00FC2364">
        <w:rPr>
          <w:rFonts w:ascii="Times New Roman" w:hAnsi="Times New Roman" w:cs="Times New Roman"/>
          <w:sz w:val="24"/>
          <w:szCs w:val="24"/>
        </w:rPr>
        <w:t xml:space="preserve"> </w:t>
      </w:r>
      <w:r w:rsidR="009B1695">
        <w:rPr>
          <w:rFonts w:ascii="Times New Roman" w:hAnsi="Times New Roman" w:cs="Times New Roman"/>
          <w:sz w:val="24"/>
          <w:szCs w:val="24"/>
        </w:rPr>
        <w:t xml:space="preserve">2025 roku </w:t>
      </w:r>
    </w:p>
    <w:p w:rsidR="00FC2364" w:rsidRDefault="00EF463C" w:rsidP="00FC23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OAP-II.420.2.2</w:t>
      </w:r>
      <w:r w:rsidR="00FC2364">
        <w:rPr>
          <w:rFonts w:ascii="Times New Roman" w:hAnsi="Times New Roman" w:cs="Times New Roman"/>
          <w:sz w:val="24"/>
          <w:szCs w:val="24"/>
        </w:rPr>
        <w:t>.2025</w:t>
      </w:r>
    </w:p>
    <w:p w:rsidR="00FC2364" w:rsidRDefault="00FC2364" w:rsidP="00FC236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39F4" w:rsidRPr="00FC2364" w:rsidRDefault="007E5AD4" w:rsidP="00FC2364">
      <w:pPr>
        <w:spacing w:after="12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FC2364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39F4" w:rsidRPr="00537063" w:rsidRDefault="009B1695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Zalecenia dotyczące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="007E5AD4" w:rsidRPr="0053706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463C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463C" w:rsidRPr="009E6D27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27">
        <w:rPr>
          <w:rFonts w:ascii="Times New Roman" w:hAnsi="Times New Roman" w:cs="Times New Roman"/>
          <w:sz w:val="24"/>
          <w:szCs w:val="24"/>
        </w:rPr>
        <w:t>W oparciu o §</w:t>
      </w:r>
      <w:r w:rsidR="00F32EE1">
        <w:rPr>
          <w:rFonts w:ascii="Times New Roman" w:hAnsi="Times New Roman" w:cs="Times New Roman"/>
          <w:sz w:val="24"/>
          <w:szCs w:val="24"/>
        </w:rPr>
        <w:t xml:space="preserve"> </w:t>
      </w:r>
      <w:r w:rsidR="005052C3" w:rsidRPr="009E6D27">
        <w:rPr>
          <w:rFonts w:ascii="Times New Roman" w:hAnsi="Times New Roman" w:cs="Times New Roman"/>
          <w:sz w:val="24"/>
          <w:szCs w:val="24"/>
        </w:rPr>
        <w:t>1 ust.</w:t>
      </w:r>
      <w:r w:rsidR="00F32EE1">
        <w:rPr>
          <w:rFonts w:ascii="Times New Roman" w:hAnsi="Times New Roman" w:cs="Times New Roman"/>
          <w:sz w:val="24"/>
          <w:szCs w:val="24"/>
        </w:rPr>
        <w:t xml:space="preserve"> </w:t>
      </w:r>
      <w:r w:rsidR="005052C3" w:rsidRPr="009E6D27">
        <w:rPr>
          <w:rFonts w:ascii="Times New Roman" w:hAnsi="Times New Roman" w:cs="Times New Roman"/>
          <w:sz w:val="24"/>
          <w:szCs w:val="24"/>
        </w:rPr>
        <w:t xml:space="preserve">2 </w:t>
      </w:r>
      <w:r w:rsidRPr="009E6D27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9E6D27">
        <w:rPr>
          <w:rFonts w:ascii="Times New Roman" w:hAnsi="Times New Roman" w:cs="Times New Roman"/>
          <w:sz w:val="24"/>
          <w:szCs w:val="24"/>
        </w:rPr>
        <w:br/>
      </w:r>
      <w:r w:rsidRPr="009E6D27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9E6D27">
        <w:rPr>
          <w:rFonts w:ascii="Times New Roman" w:hAnsi="Times New Roman" w:cs="Times New Roman"/>
          <w:sz w:val="24"/>
          <w:szCs w:val="24"/>
        </w:rPr>
        <w:t>539</w:t>
      </w:r>
      <w:r w:rsidRPr="009E6D27">
        <w:rPr>
          <w:rFonts w:ascii="Times New Roman" w:hAnsi="Times New Roman" w:cs="Times New Roman"/>
          <w:sz w:val="24"/>
          <w:szCs w:val="24"/>
        </w:rPr>
        <w:t>/20</w:t>
      </w:r>
      <w:r w:rsidR="005052C3" w:rsidRPr="009E6D27">
        <w:rPr>
          <w:rFonts w:ascii="Times New Roman" w:hAnsi="Times New Roman" w:cs="Times New Roman"/>
          <w:sz w:val="24"/>
          <w:szCs w:val="24"/>
        </w:rPr>
        <w:t>21</w:t>
      </w:r>
      <w:r w:rsidRPr="009E6D27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9E6D27">
        <w:rPr>
          <w:rFonts w:ascii="Times New Roman" w:hAnsi="Times New Roman" w:cs="Times New Roman"/>
          <w:sz w:val="24"/>
          <w:szCs w:val="24"/>
        </w:rPr>
        <w:t>27 października</w:t>
      </w:r>
      <w:r w:rsidRPr="009E6D27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9E6D27">
        <w:rPr>
          <w:rFonts w:ascii="Times New Roman" w:hAnsi="Times New Roman" w:cs="Times New Roman"/>
          <w:sz w:val="24"/>
          <w:szCs w:val="24"/>
        </w:rPr>
        <w:t>21</w:t>
      </w:r>
      <w:r w:rsidRPr="009E6D27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9E6D27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9E6D27">
        <w:rPr>
          <w:rFonts w:ascii="Times New Roman" w:hAnsi="Times New Roman" w:cs="Times New Roman"/>
          <w:sz w:val="24"/>
          <w:szCs w:val="24"/>
        </w:rPr>
        <w:t>prokuratorskiej, uprzejmie przedstawiam szczegółowy zakres tematyczny, który powinien być przedmiotem praktyk aplikantów</w:t>
      </w:r>
      <w:r w:rsidR="00EF463C" w:rsidRPr="009E6D27">
        <w:rPr>
          <w:rFonts w:ascii="Times New Roman" w:hAnsi="Times New Roman" w:cs="Times New Roman"/>
          <w:sz w:val="24"/>
          <w:szCs w:val="24"/>
        </w:rPr>
        <w:t xml:space="preserve"> XV rocznika</w:t>
      </w:r>
      <w:r w:rsidRPr="009E6D27">
        <w:rPr>
          <w:rFonts w:ascii="Times New Roman" w:hAnsi="Times New Roman" w:cs="Times New Roman"/>
          <w:sz w:val="24"/>
          <w:szCs w:val="24"/>
        </w:rPr>
        <w:t xml:space="preserve"> aplikacji prokuratorskiej odbywanych w dniach od </w:t>
      </w:r>
      <w:r w:rsidR="00EF463C" w:rsidRPr="009E6D27">
        <w:rPr>
          <w:rFonts w:ascii="Times New Roman" w:hAnsi="Times New Roman" w:cs="Times New Roman"/>
          <w:sz w:val="24"/>
          <w:szCs w:val="24"/>
        </w:rPr>
        <w:t xml:space="preserve">25 sierpnia 2025 roku do 12 września 2025 roku w prokuraturach rejonowych. 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 niniejszej praktyki jest utrwalenie umiejętności oceny wyroków i sporządzania apelacji w sprawach karnych. 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prokuraturach rejonowych winni zadbać, aby aplikanci: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dokonali analizy co najmniej 4 spraw, w których zapadł wyrok sądu I instancji i ocenili wyrok, wskazując argumenty przemawiające za uznaniem wyroku za słuszny lub wskazując przesłanki uzasadniające wystąpienie do sądu z wnioskiem o sporządzenie uzasadnienia wyroku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wywiedzenia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apelacji w analizowanej sprawie;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opracowali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apelacji w sprawach karnych,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najlepiej ze zróżnicowanymi zarzutami apelacyjnymi,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miarę możliwości, jeden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 apelacji od wyroku łącznego 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opracowali stanowiska prokuratora o odstąpieniu od wywiedzenia apelacji w sprawach karnych;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dokonali analizy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spraw, w których sporządzono kasację albo odpowiedź na kasację lub stanowiska prokuratora o odstąpieniu od kasacji zwracając szczególną uwagę na przesłanki wniesienia kasacji, sposób formułowania zarzutów oraz argumentację; </w:t>
      </w: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miarę możliwości,  co najmniej jeden projekt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kasacji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karnej albo stanowisko </w:t>
      </w: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prokuratora o odstąpieniu od wywiedzenia kasacji.</w:t>
      </w:r>
    </w:p>
    <w:p w:rsidR="009E6D27" w:rsidRPr="009E6D27" w:rsidRDefault="009E6D27" w:rsidP="009E6D27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E6D27" w:rsidRPr="009E6D27" w:rsidRDefault="009E6D27" w:rsidP="009E6D27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Uprzejmie informuję, że przedmi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otem sprawdzianu po 18 zjeździe</w:t>
      </w:r>
      <w:r w:rsidRPr="009E6D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sporządzenie  projektu apelacji w sprawie karnej lub nadzwyczajnego środka zaskarżenia albo stanowiska w sprawie odstąpienia od ich sporządzenia. Dlatego ważnym jest, aby aplikanci w trakcie praktyk nabyli tę umiejętność w jak najwyższym stopniu. </w:t>
      </w:r>
    </w:p>
    <w:p w:rsidR="009E6D27" w:rsidRPr="009E6D27" w:rsidRDefault="009E6D27" w:rsidP="009E6D27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E6D27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powyżej wskazanych czynności aplikanci powinni uczestniczyć w oględzinach miejsc zdarzenia oraz rozprawach i posiedzeniach sądu (również w charakterze oskarżycieli publicznych).</w:t>
      </w:r>
      <w:r w:rsidRPr="009E6D27">
        <w:rPr>
          <w:rFonts w:ascii="Times New Roman" w:hAnsi="Times New Roman" w:cs="Times New Roman"/>
          <w:sz w:val="24"/>
          <w:szCs w:val="24"/>
        </w:rPr>
        <w:t xml:space="preserve"> Powyższe nie wyklucza możliwości powierzania aplikantom również innych zadań wynikających z bieżącego toku pracy prokuratorskie</w:t>
      </w:r>
      <w:r>
        <w:rPr>
          <w:rFonts w:ascii="Times New Roman" w:hAnsi="Times New Roman" w:cs="Times New Roman"/>
          <w:sz w:val="24"/>
          <w:szCs w:val="24"/>
        </w:rPr>
        <w:t xml:space="preserve">j, zwłaszcza takich, </w:t>
      </w:r>
      <w:r w:rsidRPr="009E6D27">
        <w:rPr>
          <w:rFonts w:ascii="Times New Roman" w:hAnsi="Times New Roman" w:cs="Times New Roman"/>
          <w:sz w:val="24"/>
          <w:szCs w:val="24"/>
        </w:rPr>
        <w:t>z którymi dotychczas jeszcze się nie zetknęli lub, w których nie uczestniczyli.</w:t>
      </w:r>
    </w:p>
    <w:p w:rsidR="003E2316" w:rsidRPr="009E6D27" w:rsidRDefault="003E2316" w:rsidP="00BA6DA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43B" w:rsidRPr="009E6D27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27" w:rsidRDefault="009E6D27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537063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9E6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18</w:t>
      </w:r>
      <w:r w:rsidR="00FF2587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5370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Default="009E6D27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18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0A30AD">
        <w:rPr>
          <w:rFonts w:ascii="Times New Roman" w:hAnsi="Times New Roman" w:cs="Times New Roman"/>
          <w:sz w:val="24"/>
          <w:szCs w:val="24"/>
        </w:rPr>
        <w:t xml:space="preserve">zjazdu aplikacji </w:t>
      </w:r>
      <w:r w:rsidR="00FF2587" w:rsidRPr="00537063">
        <w:rPr>
          <w:rFonts w:ascii="Times New Roman" w:hAnsi="Times New Roman" w:cs="Times New Roman"/>
          <w:sz w:val="24"/>
          <w:szCs w:val="24"/>
        </w:rPr>
        <w:t>prokuratorskie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53706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28 lipca  do 1 sierpnia 2025 </w:t>
      </w:r>
      <w:r w:rsidR="000A30AD">
        <w:rPr>
          <w:rFonts w:ascii="Times New Roman" w:hAnsi="Times New Roman" w:cs="Times New Roman"/>
          <w:sz w:val="24"/>
          <w:szCs w:val="24"/>
        </w:rPr>
        <w:t xml:space="preserve">roku </w:t>
      </w:r>
      <w:r w:rsidR="00FF2587" w:rsidRPr="00537063">
        <w:rPr>
          <w:rFonts w:ascii="Times New Roman" w:hAnsi="Times New Roman" w:cs="Times New Roman"/>
          <w:sz w:val="24"/>
          <w:szCs w:val="24"/>
        </w:rPr>
        <w:t>będzie:</w:t>
      </w:r>
    </w:p>
    <w:p w:rsidR="00CD3005" w:rsidRPr="00CD3005" w:rsidRDefault="00CD3005" w:rsidP="00CD3005">
      <w:pPr>
        <w:pStyle w:val="Nagwek2"/>
        <w:spacing w:line="240" w:lineRule="auto"/>
        <w:rPr>
          <w:szCs w:val="24"/>
        </w:rPr>
      </w:pPr>
      <w:r w:rsidRPr="00CD3005">
        <w:rPr>
          <w:szCs w:val="24"/>
        </w:rPr>
        <w:t xml:space="preserve">Prawo karne materialne 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Kara łączna.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 xml:space="preserve">Wyrok łączny. 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Zaskarżalność rozstrzygnięć w przedmiocie kary łącznej i wyroku łącznego.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Pozakodeksowe przepisy karne.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Ustawa o  przeciwdziałaniu narkomanii.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Ustawy m.in.: o ochronie zabytków i opiece nad zabytkami, o broni i amunicji, prawo łowieckie, o przeciwdziałaniu alkoholizmowi, o zawodach lekarza i lekarza dentysty, prawo farmaceutyczne, o bezpieczeństwie imprez masowych, o ochronie zwierząt i inne (dobór uzależniony od aktualnych tendencji rozwoju przestępczości).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Wybrane przestępstwa gospodarcze.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Przestępstwa przeciwko obrotowi gospodarczemu - przestępstwo nadużycia zaufania , przekupstwo i sprzedajność menadżerska.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Oszustwa gospodarcze – oszustwa kapitałowe, oszustwo ubezpieczeniowe, utrudnianie przetargu.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Przestępstwa prania brudnych pieniędzy, przestępstwa z ustawy o przeciwdziałaniu prania pieniędzy oraz finansowaniu terroryzmu.</w:t>
      </w:r>
    </w:p>
    <w:p w:rsidR="00CD3005" w:rsidRPr="00CD3005" w:rsidRDefault="00CD3005" w:rsidP="00CD3005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D3005">
        <w:rPr>
          <w:rFonts w:ascii="Times New Roman" w:hAnsi="Times New Roman" w:cs="Times New Roman"/>
          <w:sz w:val="24"/>
          <w:szCs w:val="24"/>
        </w:rPr>
        <w:t xml:space="preserve">Przestępstwa dłużnicze - przestępstwo niezaspokojenia wierzyciela – art. 300 k.k., przestępstwo wytransferowania  majątku przez dłużnika – art. 301 </w:t>
      </w:r>
      <w:r w:rsidRPr="00CD300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§ 1 k.k., przestępstwo bankructwa dłużników – art. 301 § 2 i 3 k.k., przestępstwo korumpowania wierzycieli – art. 302 k.k., przestępstwo nieprowadzenia dokumentacji działalności gospodarczej albo prowadzenia jej w sposób nierzetelny lub niezgodny z prawdą – art. 303 k.k., przestępstwo lichwy – art. 304 k.k. </w:t>
      </w:r>
    </w:p>
    <w:p w:rsidR="00CD3005" w:rsidRPr="00CD3005" w:rsidRDefault="00CD3005" w:rsidP="00CD3005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D3005" w:rsidRPr="00CD3005" w:rsidRDefault="00CD3005" w:rsidP="00CD3005">
      <w:pPr>
        <w:pStyle w:val="Nagwek2"/>
        <w:rPr>
          <w:szCs w:val="24"/>
        </w:rPr>
      </w:pPr>
      <w:r w:rsidRPr="00CD3005">
        <w:rPr>
          <w:szCs w:val="24"/>
        </w:rPr>
        <w:t xml:space="preserve">Kryminalistyka </w:t>
      </w:r>
    </w:p>
    <w:p w:rsidR="00CD3005" w:rsidRPr="00CD3005" w:rsidRDefault="00CD3005" w:rsidP="00CD3005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3005">
        <w:rPr>
          <w:rFonts w:ascii="Times New Roman" w:hAnsi="Times New Roman" w:cs="Times New Roman"/>
          <w:sz w:val="24"/>
          <w:szCs w:val="24"/>
          <w:lang w:eastAsia="pl-PL"/>
        </w:rPr>
        <w:t xml:space="preserve">Kryminalistyczne aspekty przestępstw z wykorzystaniem narzędzi informatycznych. </w:t>
      </w:r>
    </w:p>
    <w:p w:rsidR="00CD3005" w:rsidRPr="00CD3005" w:rsidRDefault="00CD3005" w:rsidP="00CD3005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3005">
        <w:rPr>
          <w:rFonts w:ascii="Times New Roman" w:hAnsi="Times New Roman" w:cs="Times New Roman"/>
          <w:sz w:val="24"/>
          <w:szCs w:val="24"/>
        </w:rPr>
        <w:t xml:space="preserve"> Przeszukanie urządzeń zawierających dane informatyczne.</w:t>
      </w:r>
    </w:p>
    <w:p w:rsidR="00CD3005" w:rsidRPr="00CD3005" w:rsidRDefault="00CD3005" w:rsidP="00CD3005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D3005">
        <w:rPr>
          <w:rFonts w:ascii="Times New Roman" w:hAnsi="Times New Roman" w:cs="Times New Roman"/>
          <w:sz w:val="24"/>
          <w:szCs w:val="24"/>
          <w:lang w:eastAsia="pl-PL"/>
        </w:rPr>
        <w:t>Dowód (ślad) cyfrowy. Typowe przestępstwa popełniane z wykorzystaniem narzędzi cyfrowych.</w:t>
      </w:r>
    </w:p>
    <w:p w:rsidR="00CD3005" w:rsidRPr="00CD3005" w:rsidRDefault="00CD3005" w:rsidP="00CD3005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3005">
        <w:rPr>
          <w:rFonts w:ascii="Times New Roman" w:hAnsi="Times New Roman" w:cs="Times New Roman"/>
          <w:sz w:val="24"/>
          <w:szCs w:val="24"/>
        </w:rPr>
        <w:t>Analiza kryminalna i ekspertyzy dotyczące śladów cyfrowych.</w:t>
      </w:r>
    </w:p>
    <w:p w:rsidR="00CD3005" w:rsidRDefault="00CD3005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D27" w:rsidRDefault="009E6D27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0AD" w:rsidRPr="000A30AD" w:rsidRDefault="000A30AD" w:rsidP="000A30AD">
      <w:pPr>
        <w:pStyle w:val="Nagwek2"/>
        <w:rPr>
          <w:szCs w:val="24"/>
        </w:rPr>
      </w:pPr>
      <w:r w:rsidRPr="000A30AD">
        <w:rPr>
          <w:szCs w:val="24"/>
        </w:rPr>
        <w:lastRenderedPageBreak/>
        <w:t xml:space="preserve">Prawo karne materialne </w:t>
      </w:r>
    </w:p>
    <w:p w:rsidR="000A30AD" w:rsidRPr="000A30AD" w:rsidRDefault="000A30AD" w:rsidP="000A30AD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AD">
        <w:rPr>
          <w:rFonts w:ascii="Times New Roman" w:hAnsi="Times New Roman" w:cs="Times New Roman"/>
          <w:sz w:val="24"/>
          <w:szCs w:val="24"/>
        </w:rPr>
        <w:t>Przestępstwa przeciwko środowisku.</w:t>
      </w:r>
    </w:p>
    <w:p w:rsidR="000A30AD" w:rsidRPr="000A30AD" w:rsidRDefault="000A30AD" w:rsidP="000A30AD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AD">
        <w:rPr>
          <w:rFonts w:ascii="Times New Roman" w:hAnsi="Times New Roman" w:cs="Times New Roman"/>
          <w:sz w:val="24"/>
          <w:szCs w:val="24"/>
        </w:rPr>
        <w:t xml:space="preserve">Przestępstwa przeciwko wolności, wolności sumienia i wyznania, wolności seksualnej i obyczajności. </w:t>
      </w:r>
    </w:p>
    <w:p w:rsidR="000A30AD" w:rsidRPr="000A30AD" w:rsidRDefault="000A30AD" w:rsidP="000A30AD">
      <w:pPr>
        <w:pStyle w:val="Nagwek2"/>
        <w:rPr>
          <w:szCs w:val="24"/>
        </w:rPr>
      </w:pPr>
      <w:r w:rsidRPr="000A30AD">
        <w:rPr>
          <w:szCs w:val="24"/>
        </w:rPr>
        <w:t>Prawo karne procesowe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karne w  sprawach wojskowych.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>Nadzwyczajne środki zaskarżenia.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 xml:space="preserve">Podstawy i granice kasacji.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>Szczególne uprawnienia Prokuratora Generalnego.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</w:rPr>
        <w:t xml:space="preserve">Skarga na wyrok sądu odwoławczego.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Podstawy wznowienia  postępowania.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Charakter, przedmiot i tryb wznowienia.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Skarga nadzwyczajna.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Podjęcie postępowania umorzonego warunkowo - przesłanki, tryb.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Sporządzanie kasacji, odpowiedzi na kasację oraz innych pism procesowych.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 Faktyczne i prawne konsekwencje przewlekłości postepowania karnego.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Skarga na naruszenie prawa strony do rozpoznania sprawy w postępowaniu przygotowawczym prowadzonym lub nadzorowanym przez prokuratora i postępowaniu sądowym bez nieuzasadnionej zwłoki. 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Odszkodowanie i zadośćuczynienie za niewątpliwie niesłuszne skazanie.</w:t>
      </w:r>
    </w:p>
    <w:p w:rsidR="000A30AD" w:rsidRPr="000A30AD" w:rsidRDefault="000A30AD" w:rsidP="000A30AD">
      <w:pPr>
        <w:pStyle w:val="Akapitzlist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Ułaskawienie - przesłanki, tryb.</w:t>
      </w:r>
    </w:p>
    <w:p w:rsidR="000A30AD" w:rsidRPr="000A30AD" w:rsidRDefault="000A30AD" w:rsidP="000A30AD">
      <w:pPr>
        <w:pStyle w:val="Nagwek2"/>
        <w:rPr>
          <w:szCs w:val="24"/>
        </w:rPr>
      </w:pPr>
      <w:r w:rsidRPr="000A30AD">
        <w:rPr>
          <w:szCs w:val="24"/>
        </w:rPr>
        <w:t>Prawo karne wykonawcze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Rola prokuratora w postępowaniu wykonawczym.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Odroczenie wykonania i przerwa w wykonaniu kary pozbawienia wolności. 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 xml:space="preserve">Warunkowe przedterminowe zwolnienie. </w:t>
      </w:r>
    </w:p>
    <w:p w:rsidR="000A30AD" w:rsidRPr="000A30AD" w:rsidRDefault="000A30AD" w:rsidP="000A30AD">
      <w:pPr>
        <w:pStyle w:val="Akapitzlist"/>
        <w:numPr>
          <w:ilvl w:val="0"/>
          <w:numId w:val="25"/>
        </w:num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0AD">
        <w:rPr>
          <w:rFonts w:ascii="Times New Roman" w:hAnsi="Times New Roman" w:cs="Times New Roman"/>
          <w:sz w:val="24"/>
          <w:szCs w:val="24"/>
          <w:lang w:eastAsia="pl-PL"/>
        </w:rPr>
        <w:t>Sporządzanie m.in. zażalenia na postanowienie o odroczeniu wykonania kary pozbawienia wolności, o udzieleniu przerwy w wykonaniu kary pozbawienia wolności  oraz  o warunkowym przedterminowym zwolnieniu.</w:t>
      </w:r>
    </w:p>
    <w:p w:rsidR="000A30AD" w:rsidRDefault="000A30AD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9C" w:rsidRDefault="00920B9C">
      <w:pPr>
        <w:spacing w:after="0" w:line="240" w:lineRule="auto"/>
      </w:pPr>
      <w:r>
        <w:separator/>
      </w:r>
    </w:p>
  </w:endnote>
  <w:endnote w:type="continuationSeparator" w:id="0">
    <w:p w:rsidR="00920B9C" w:rsidRDefault="0092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4608D">
      <w:rPr>
        <w:noProof/>
      </w:rPr>
      <w:t>2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9C" w:rsidRDefault="00920B9C">
      <w:pPr>
        <w:spacing w:after="0" w:line="240" w:lineRule="auto"/>
      </w:pPr>
      <w:r>
        <w:separator/>
      </w:r>
    </w:p>
  </w:footnote>
  <w:footnote w:type="continuationSeparator" w:id="0">
    <w:p w:rsidR="00920B9C" w:rsidRDefault="0092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F40"/>
    <w:multiLevelType w:val="hybridMultilevel"/>
    <w:tmpl w:val="B6EC158A"/>
    <w:lvl w:ilvl="0" w:tplc="6FACB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43504"/>
    <w:multiLevelType w:val="hybridMultilevel"/>
    <w:tmpl w:val="74AA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64BA"/>
    <w:multiLevelType w:val="hybridMultilevel"/>
    <w:tmpl w:val="156C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459F4"/>
    <w:multiLevelType w:val="hybridMultilevel"/>
    <w:tmpl w:val="9BD231F8"/>
    <w:lvl w:ilvl="0" w:tplc="7994968A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31E3"/>
    <w:multiLevelType w:val="hybridMultilevel"/>
    <w:tmpl w:val="7D6408FC"/>
    <w:lvl w:ilvl="0" w:tplc="DB667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26F3"/>
    <w:multiLevelType w:val="hybridMultilevel"/>
    <w:tmpl w:val="CA20E0DC"/>
    <w:lvl w:ilvl="0" w:tplc="97587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2147"/>
    <w:multiLevelType w:val="hybridMultilevel"/>
    <w:tmpl w:val="A32C4032"/>
    <w:lvl w:ilvl="0" w:tplc="E4A07C9E">
      <w:start w:val="1"/>
      <w:numFmt w:val="decimal"/>
      <w:pStyle w:val="Listaosb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3"/>
  </w:num>
  <w:num w:numId="15">
    <w:abstractNumId w:val="16"/>
  </w:num>
  <w:num w:numId="16">
    <w:abstractNumId w:val="18"/>
  </w:num>
  <w:num w:numId="17">
    <w:abstractNumId w:val="19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30AD"/>
    <w:rsid w:val="000A5846"/>
    <w:rsid w:val="000B4076"/>
    <w:rsid w:val="00144924"/>
    <w:rsid w:val="001C643B"/>
    <w:rsid w:val="001D00EF"/>
    <w:rsid w:val="002160B3"/>
    <w:rsid w:val="00232961"/>
    <w:rsid w:val="0024608D"/>
    <w:rsid w:val="00252D1A"/>
    <w:rsid w:val="002818DB"/>
    <w:rsid w:val="0028773E"/>
    <w:rsid w:val="002E0921"/>
    <w:rsid w:val="00313D8C"/>
    <w:rsid w:val="00314FB8"/>
    <w:rsid w:val="00344B32"/>
    <w:rsid w:val="003E14E1"/>
    <w:rsid w:val="003E2316"/>
    <w:rsid w:val="00435CDB"/>
    <w:rsid w:val="00444484"/>
    <w:rsid w:val="00476323"/>
    <w:rsid w:val="00482F4C"/>
    <w:rsid w:val="004B7502"/>
    <w:rsid w:val="005052C3"/>
    <w:rsid w:val="00537063"/>
    <w:rsid w:val="00560C39"/>
    <w:rsid w:val="005A3B58"/>
    <w:rsid w:val="005C1373"/>
    <w:rsid w:val="006241BE"/>
    <w:rsid w:val="00652DBC"/>
    <w:rsid w:val="006A55A4"/>
    <w:rsid w:val="00727C2B"/>
    <w:rsid w:val="00734B8B"/>
    <w:rsid w:val="00766977"/>
    <w:rsid w:val="0078274D"/>
    <w:rsid w:val="00784999"/>
    <w:rsid w:val="007E2FC5"/>
    <w:rsid w:val="007E5AD4"/>
    <w:rsid w:val="008177FC"/>
    <w:rsid w:val="0087730E"/>
    <w:rsid w:val="008A505E"/>
    <w:rsid w:val="008C070F"/>
    <w:rsid w:val="008C29CA"/>
    <w:rsid w:val="008F6BF6"/>
    <w:rsid w:val="00920B9C"/>
    <w:rsid w:val="00944825"/>
    <w:rsid w:val="009508D5"/>
    <w:rsid w:val="00986AAD"/>
    <w:rsid w:val="00987268"/>
    <w:rsid w:val="009B1695"/>
    <w:rsid w:val="009C0B66"/>
    <w:rsid w:val="009C39F4"/>
    <w:rsid w:val="009D2210"/>
    <w:rsid w:val="009E6D27"/>
    <w:rsid w:val="00A10440"/>
    <w:rsid w:val="00A53709"/>
    <w:rsid w:val="00AC5D7C"/>
    <w:rsid w:val="00BA6DAC"/>
    <w:rsid w:val="00BB245F"/>
    <w:rsid w:val="00BC1096"/>
    <w:rsid w:val="00BD5D54"/>
    <w:rsid w:val="00C51E4E"/>
    <w:rsid w:val="00C568A4"/>
    <w:rsid w:val="00CB6F41"/>
    <w:rsid w:val="00CD3005"/>
    <w:rsid w:val="00D055CC"/>
    <w:rsid w:val="00D25D71"/>
    <w:rsid w:val="00D95C61"/>
    <w:rsid w:val="00E46F94"/>
    <w:rsid w:val="00E512BB"/>
    <w:rsid w:val="00E81285"/>
    <w:rsid w:val="00E938F3"/>
    <w:rsid w:val="00ED39E2"/>
    <w:rsid w:val="00EF463C"/>
    <w:rsid w:val="00F05368"/>
    <w:rsid w:val="00F32EE1"/>
    <w:rsid w:val="00F866FC"/>
    <w:rsid w:val="00FC2364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customStyle="1" w:styleId="Listaosb">
    <w:name w:val="Lista osób"/>
    <w:basedOn w:val="Normalny"/>
    <w:qFormat/>
    <w:rsid w:val="00BA6DAC"/>
    <w:pPr>
      <w:numPr>
        <w:numId w:val="2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2025-03-18T08:17:00Z</dcterms:created>
  <dcterms:modified xsi:type="dcterms:W3CDTF">2025-03-18T08:17:00Z</dcterms:modified>
</cp:coreProperties>
</file>