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9AA" w:rsidRPr="00B439AA" w:rsidRDefault="00B439AA" w:rsidP="00B439AA">
      <w:pPr>
        <w:tabs>
          <w:tab w:val="right" w:pos="5103"/>
          <w:tab w:val="left" w:pos="10527"/>
        </w:tabs>
        <w:spacing w:after="0" w:line="240" w:lineRule="auto"/>
        <w:ind w:left="-851" w:right="5526"/>
        <w:rPr>
          <w:rFonts w:ascii="Times New Roman" w:eastAsia="Times New Roman" w:hAnsi="Times New Roman" w:cs="Times New Roman"/>
          <w:spacing w:val="20"/>
          <w:sz w:val="23"/>
          <w:szCs w:val="23"/>
          <w:lang w:eastAsia="pl-PL"/>
        </w:rPr>
      </w:pPr>
      <w:bookmarkStart w:id="0" w:name="_GoBack"/>
      <w:bookmarkEnd w:id="0"/>
    </w:p>
    <w:p w:rsidR="00B439AA" w:rsidRPr="00B439AA" w:rsidRDefault="00B439AA" w:rsidP="00B439AA">
      <w:pPr>
        <w:tabs>
          <w:tab w:val="right" w:pos="5103"/>
          <w:tab w:val="left" w:pos="10527"/>
        </w:tabs>
        <w:spacing w:after="0" w:line="240" w:lineRule="auto"/>
        <w:ind w:left="-851" w:right="5526"/>
        <w:rPr>
          <w:rFonts w:ascii="Times New Roman" w:eastAsia="Times New Roman" w:hAnsi="Times New Roman" w:cs="Times New Roman"/>
          <w:spacing w:val="20"/>
          <w:sz w:val="23"/>
          <w:szCs w:val="23"/>
          <w:lang w:eastAsia="pl-PL"/>
        </w:rPr>
      </w:pPr>
      <w:r w:rsidRPr="00B439AA">
        <w:rPr>
          <w:rFonts w:ascii="Times New Roman" w:eastAsia="Times New Roman" w:hAnsi="Times New Roman" w:cs="Times New Roman"/>
          <w:noProof/>
          <w:sz w:val="23"/>
          <w:szCs w:val="23"/>
          <w:lang w:eastAsia="pl-PL"/>
        </w:rPr>
        <w:drawing>
          <wp:anchor distT="0" distB="0" distL="114300" distR="114300" simplePos="0" relativeHeight="251659264" behindDoc="0" locked="0" layoutInCell="1" allowOverlap="1" wp14:anchorId="1F8AD088" wp14:editId="2B6EBE82">
            <wp:simplePos x="0" y="0"/>
            <wp:positionH relativeFrom="column">
              <wp:posOffset>699135</wp:posOffset>
            </wp:positionH>
            <wp:positionV relativeFrom="paragraph">
              <wp:posOffset>-43815</wp:posOffset>
            </wp:positionV>
            <wp:extent cx="504825" cy="476250"/>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476250"/>
                    </a:xfrm>
                    <a:prstGeom prst="rect">
                      <a:avLst/>
                    </a:prstGeom>
                    <a:noFill/>
                  </pic:spPr>
                </pic:pic>
              </a:graphicData>
            </a:graphic>
            <wp14:sizeRelH relativeFrom="page">
              <wp14:pctWidth>0</wp14:pctWidth>
            </wp14:sizeRelH>
            <wp14:sizeRelV relativeFrom="page">
              <wp14:pctHeight>0</wp14:pctHeight>
            </wp14:sizeRelV>
          </wp:anchor>
        </w:drawing>
      </w:r>
      <w:r w:rsidRPr="00B439AA">
        <w:rPr>
          <w:rFonts w:ascii="Times New Roman" w:eastAsia="Times New Roman" w:hAnsi="Times New Roman" w:cs="Times New Roman"/>
          <w:spacing w:val="20"/>
          <w:sz w:val="23"/>
          <w:szCs w:val="23"/>
          <w:lang w:eastAsia="pl-PL"/>
        </w:rPr>
        <w:t xml:space="preserve"> </w:t>
      </w:r>
    </w:p>
    <w:p w:rsidR="00B439AA" w:rsidRPr="00B439AA" w:rsidRDefault="00B439AA" w:rsidP="00B439AA">
      <w:pPr>
        <w:tabs>
          <w:tab w:val="center" w:pos="4536"/>
          <w:tab w:val="right" w:pos="9072"/>
        </w:tabs>
        <w:spacing w:after="0" w:line="240" w:lineRule="auto"/>
        <w:ind w:right="4959"/>
        <w:jc w:val="center"/>
        <w:rPr>
          <w:rFonts w:ascii="Times New Roman" w:eastAsia="Times New Roman" w:hAnsi="Times New Roman" w:cs="Times New Roman"/>
          <w:b/>
          <w:sz w:val="23"/>
          <w:szCs w:val="23"/>
          <w:lang w:eastAsia="pl-PL"/>
        </w:rPr>
      </w:pPr>
    </w:p>
    <w:p w:rsidR="00B439AA" w:rsidRPr="00B439AA" w:rsidRDefault="00B439AA" w:rsidP="00B439AA">
      <w:pPr>
        <w:tabs>
          <w:tab w:val="center" w:pos="4536"/>
          <w:tab w:val="right" w:pos="9072"/>
        </w:tabs>
        <w:spacing w:after="0" w:line="240" w:lineRule="auto"/>
        <w:ind w:left="-851" w:right="5526"/>
        <w:jc w:val="center"/>
        <w:rPr>
          <w:rFonts w:ascii="Times New Roman" w:eastAsia="Times New Roman" w:hAnsi="Times New Roman" w:cs="Times New Roman"/>
          <w:b/>
          <w:sz w:val="23"/>
          <w:szCs w:val="23"/>
          <w:lang w:eastAsia="pl-PL"/>
        </w:rPr>
      </w:pPr>
    </w:p>
    <w:p w:rsidR="00B439AA" w:rsidRPr="00B439AA" w:rsidRDefault="00B439AA" w:rsidP="00B439AA">
      <w:pPr>
        <w:tabs>
          <w:tab w:val="center" w:pos="4536"/>
          <w:tab w:val="right" w:pos="9072"/>
        </w:tabs>
        <w:spacing w:after="0" w:line="240" w:lineRule="auto"/>
        <w:ind w:left="-851" w:right="5526"/>
        <w:jc w:val="center"/>
        <w:rPr>
          <w:rFonts w:ascii="Times New Roman" w:eastAsia="Times New Roman" w:hAnsi="Times New Roman" w:cs="Times New Roman"/>
          <w:b/>
          <w:sz w:val="23"/>
          <w:szCs w:val="23"/>
          <w:lang w:eastAsia="pl-PL"/>
        </w:rPr>
      </w:pPr>
      <w:r w:rsidRPr="00B439AA">
        <w:rPr>
          <w:rFonts w:ascii="Times New Roman" w:eastAsia="Times New Roman" w:hAnsi="Times New Roman" w:cs="Times New Roman"/>
          <w:b/>
          <w:sz w:val="23"/>
          <w:szCs w:val="23"/>
          <w:lang w:eastAsia="pl-PL"/>
        </w:rPr>
        <w:t>KRAJOWA SZKOŁA</w:t>
      </w:r>
    </w:p>
    <w:p w:rsidR="00B439AA" w:rsidRPr="00B439AA" w:rsidRDefault="00B439AA" w:rsidP="00B439AA">
      <w:pPr>
        <w:tabs>
          <w:tab w:val="center" w:pos="4536"/>
          <w:tab w:val="right" w:pos="9072"/>
        </w:tabs>
        <w:spacing w:after="0" w:line="240" w:lineRule="auto"/>
        <w:ind w:left="-851" w:right="5526"/>
        <w:jc w:val="center"/>
        <w:rPr>
          <w:rFonts w:ascii="Times New Roman" w:eastAsia="Times New Roman" w:hAnsi="Times New Roman" w:cs="Times New Roman"/>
          <w:b/>
          <w:sz w:val="23"/>
          <w:szCs w:val="23"/>
          <w:lang w:eastAsia="pl-PL"/>
        </w:rPr>
      </w:pPr>
      <w:r w:rsidRPr="00B439AA">
        <w:rPr>
          <w:rFonts w:ascii="Times New Roman" w:eastAsia="Times New Roman" w:hAnsi="Times New Roman" w:cs="Times New Roman"/>
          <w:b/>
          <w:sz w:val="23"/>
          <w:szCs w:val="23"/>
          <w:lang w:eastAsia="pl-PL"/>
        </w:rPr>
        <w:t xml:space="preserve"> SĄDOWNICTWA I PROKURATURY</w:t>
      </w:r>
    </w:p>
    <w:p w:rsidR="00B439AA" w:rsidRPr="00B439AA" w:rsidRDefault="00B439AA" w:rsidP="00B439AA">
      <w:pPr>
        <w:tabs>
          <w:tab w:val="center" w:pos="4536"/>
          <w:tab w:val="right" w:pos="9072"/>
        </w:tabs>
        <w:spacing w:after="0" w:line="240" w:lineRule="auto"/>
        <w:ind w:right="4392" w:hanging="283"/>
        <w:rPr>
          <w:rFonts w:ascii="Times New Roman" w:eastAsia="Times New Roman" w:hAnsi="Times New Roman" w:cs="Times New Roman"/>
          <w:b/>
          <w:sz w:val="23"/>
          <w:szCs w:val="23"/>
          <w:lang w:eastAsia="pl-PL"/>
        </w:rPr>
      </w:pPr>
    </w:p>
    <w:p w:rsidR="00B439AA" w:rsidRPr="00B439AA" w:rsidRDefault="00B439AA" w:rsidP="00B439AA">
      <w:pPr>
        <w:jc w:val="right"/>
        <w:rPr>
          <w:rFonts w:ascii="Times New Roman" w:eastAsia="Calibri" w:hAnsi="Times New Roman" w:cs="Times New Roman"/>
          <w:sz w:val="23"/>
          <w:szCs w:val="23"/>
        </w:rPr>
      </w:pPr>
      <w:r w:rsidRPr="00B439AA">
        <w:rPr>
          <w:rFonts w:ascii="Times New Roman" w:eastAsia="Calibri" w:hAnsi="Times New Roman" w:cs="Times New Roman"/>
          <w:sz w:val="23"/>
          <w:szCs w:val="23"/>
        </w:rPr>
        <w:t xml:space="preserve">Kraków, </w:t>
      </w:r>
      <w:r w:rsidR="002E5328">
        <w:rPr>
          <w:rFonts w:ascii="Times New Roman" w:eastAsia="Calibri" w:hAnsi="Times New Roman" w:cs="Times New Roman"/>
          <w:sz w:val="23"/>
          <w:szCs w:val="23"/>
        </w:rPr>
        <w:t>1</w:t>
      </w:r>
      <w:r w:rsidRPr="00B439AA">
        <w:rPr>
          <w:rFonts w:ascii="Times New Roman" w:eastAsia="Calibri" w:hAnsi="Times New Roman" w:cs="Times New Roman"/>
          <w:sz w:val="23"/>
          <w:szCs w:val="23"/>
        </w:rPr>
        <w:t xml:space="preserve"> </w:t>
      </w:r>
      <w:r w:rsidR="002E5328">
        <w:rPr>
          <w:rFonts w:ascii="Times New Roman" w:eastAsia="Calibri" w:hAnsi="Times New Roman" w:cs="Times New Roman"/>
          <w:sz w:val="23"/>
          <w:szCs w:val="23"/>
        </w:rPr>
        <w:t>grudnia 2021 r</w:t>
      </w:r>
      <w:r w:rsidRPr="00B439AA">
        <w:rPr>
          <w:rFonts w:ascii="Times New Roman" w:eastAsia="Calibri" w:hAnsi="Times New Roman" w:cs="Times New Roman"/>
          <w:sz w:val="23"/>
          <w:szCs w:val="23"/>
        </w:rPr>
        <w:t>.</w:t>
      </w:r>
    </w:p>
    <w:p w:rsidR="00B439AA" w:rsidRPr="00B439AA" w:rsidRDefault="00B439AA" w:rsidP="00B439AA">
      <w:pPr>
        <w:jc w:val="both"/>
        <w:rPr>
          <w:rFonts w:ascii="Times New Roman" w:eastAsia="Calibri" w:hAnsi="Times New Roman" w:cs="Times New Roman"/>
          <w:b/>
          <w:sz w:val="23"/>
          <w:szCs w:val="23"/>
        </w:rPr>
      </w:pPr>
      <w:r w:rsidRPr="00B439AA">
        <w:rPr>
          <w:rFonts w:ascii="Times New Roman" w:eastAsia="Calibri" w:hAnsi="Times New Roman" w:cs="Times New Roman"/>
          <w:b/>
          <w:sz w:val="23"/>
          <w:szCs w:val="23"/>
        </w:rPr>
        <w:t xml:space="preserve">OAS-II.421.38.2021 </w:t>
      </w:r>
    </w:p>
    <w:p w:rsidR="00B439AA" w:rsidRPr="00B439AA" w:rsidRDefault="00B439AA" w:rsidP="00B439AA">
      <w:pPr>
        <w:jc w:val="both"/>
        <w:rPr>
          <w:rFonts w:ascii="Times New Roman" w:eastAsia="Calibri" w:hAnsi="Times New Roman" w:cs="Times New Roman"/>
          <w:i/>
          <w:sz w:val="23"/>
          <w:szCs w:val="23"/>
        </w:rPr>
      </w:pPr>
      <w:r w:rsidRPr="00B439AA">
        <w:rPr>
          <w:rFonts w:ascii="Times New Roman" w:eastAsia="Calibri" w:hAnsi="Times New Roman" w:cs="Times New Roman"/>
          <w:i/>
          <w:sz w:val="23"/>
          <w:szCs w:val="23"/>
        </w:rPr>
        <w:t xml:space="preserve">Dot. praktyk aplikantów </w:t>
      </w:r>
      <w:r w:rsidR="002E5328">
        <w:rPr>
          <w:rFonts w:ascii="Times New Roman" w:eastAsia="Calibri" w:hAnsi="Times New Roman" w:cs="Times New Roman"/>
          <w:i/>
          <w:sz w:val="23"/>
          <w:szCs w:val="23"/>
        </w:rPr>
        <w:t>X</w:t>
      </w:r>
      <w:r w:rsidRPr="00B439AA">
        <w:rPr>
          <w:rFonts w:ascii="Times New Roman" w:eastAsia="Calibri" w:hAnsi="Times New Roman" w:cs="Times New Roman"/>
          <w:i/>
          <w:sz w:val="23"/>
          <w:szCs w:val="23"/>
        </w:rPr>
        <w:t xml:space="preserve"> rocznika aplikacji sędziowskiej po </w:t>
      </w:r>
      <w:r w:rsidR="002E5328">
        <w:rPr>
          <w:rFonts w:ascii="Times New Roman" w:eastAsia="Calibri" w:hAnsi="Times New Roman" w:cs="Times New Roman"/>
          <w:i/>
          <w:sz w:val="23"/>
          <w:szCs w:val="23"/>
        </w:rPr>
        <w:t>32</w:t>
      </w:r>
      <w:r w:rsidRPr="00B439AA">
        <w:rPr>
          <w:rFonts w:ascii="Times New Roman" w:eastAsia="Calibri" w:hAnsi="Times New Roman" w:cs="Times New Roman"/>
          <w:i/>
          <w:sz w:val="23"/>
          <w:szCs w:val="23"/>
        </w:rPr>
        <w:t xml:space="preserve"> zjeździe</w:t>
      </w:r>
    </w:p>
    <w:p w:rsidR="00B439AA" w:rsidRPr="00B439AA" w:rsidRDefault="00B439AA" w:rsidP="00B439AA">
      <w:pPr>
        <w:rPr>
          <w:rFonts w:ascii="Times New Roman" w:eastAsia="Calibri" w:hAnsi="Times New Roman" w:cs="Times New Roman"/>
          <w:b/>
          <w:sz w:val="23"/>
          <w:szCs w:val="23"/>
        </w:rPr>
      </w:pPr>
    </w:p>
    <w:p w:rsidR="00B439AA" w:rsidRPr="00B439AA" w:rsidRDefault="00B439AA" w:rsidP="00B439AA">
      <w:pPr>
        <w:spacing w:after="120" w:line="360" w:lineRule="auto"/>
        <w:ind w:left="4248" w:firstLine="708"/>
        <w:rPr>
          <w:rFonts w:ascii="Times New Roman" w:eastAsia="Calibri" w:hAnsi="Times New Roman" w:cs="Times New Roman"/>
          <w:b/>
          <w:sz w:val="23"/>
          <w:szCs w:val="23"/>
        </w:rPr>
      </w:pPr>
      <w:r w:rsidRPr="00B439AA">
        <w:rPr>
          <w:rFonts w:ascii="Times New Roman" w:eastAsia="Calibri" w:hAnsi="Times New Roman" w:cs="Times New Roman"/>
          <w:b/>
          <w:sz w:val="23"/>
          <w:szCs w:val="23"/>
        </w:rPr>
        <w:t>Do</w:t>
      </w:r>
    </w:p>
    <w:p w:rsidR="00B439AA" w:rsidRPr="00B439AA" w:rsidRDefault="002E5328" w:rsidP="00B439AA">
      <w:pPr>
        <w:ind w:left="4956"/>
        <w:rPr>
          <w:rFonts w:ascii="Times New Roman" w:eastAsia="Calibri" w:hAnsi="Times New Roman" w:cs="Times New Roman"/>
          <w:b/>
          <w:sz w:val="23"/>
          <w:szCs w:val="23"/>
        </w:rPr>
      </w:pPr>
      <w:r>
        <w:rPr>
          <w:rFonts w:ascii="Times New Roman" w:eastAsia="Calibri" w:hAnsi="Times New Roman" w:cs="Times New Roman"/>
          <w:b/>
          <w:sz w:val="23"/>
          <w:szCs w:val="23"/>
        </w:rPr>
        <w:t>P</w:t>
      </w:r>
      <w:r w:rsidR="00B439AA" w:rsidRPr="00B439AA">
        <w:rPr>
          <w:rFonts w:ascii="Times New Roman" w:eastAsia="Calibri" w:hAnsi="Times New Roman" w:cs="Times New Roman"/>
          <w:b/>
          <w:sz w:val="23"/>
          <w:szCs w:val="23"/>
        </w:rPr>
        <w:t>atronów praktyk</w:t>
      </w:r>
    </w:p>
    <w:p w:rsidR="00B439AA" w:rsidRPr="00B439AA" w:rsidRDefault="002E5328" w:rsidP="00B439AA">
      <w:pPr>
        <w:ind w:left="4956"/>
        <w:rPr>
          <w:rFonts w:ascii="Times New Roman" w:eastAsia="Calibri" w:hAnsi="Times New Roman" w:cs="Times New Roman"/>
          <w:b/>
          <w:sz w:val="23"/>
          <w:szCs w:val="23"/>
        </w:rPr>
      </w:pPr>
      <w:r>
        <w:rPr>
          <w:rFonts w:ascii="Times New Roman" w:eastAsia="Calibri" w:hAnsi="Times New Roman" w:cs="Times New Roman"/>
          <w:b/>
          <w:sz w:val="23"/>
          <w:szCs w:val="23"/>
        </w:rPr>
        <w:t>oraz P</w:t>
      </w:r>
      <w:r w:rsidR="00B439AA" w:rsidRPr="00B439AA">
        <w:rPr>
          <w:rFonts w:ascii="Times New Roman" w:eastAsia="Calibri" w:hAnsi="Times New Roman" w:cs="Times New Roman"/>
          <w:b/>
          <w:sz w:val="23"/>
          <w:szCs w:val="23"/>
        </w:rPr>
        <w:t>atronów koordynatorów</w:t>
      </w:r>
    </w:p>
    <w:p w:rsidR="00B439AA" w:rsidRPr="00B439AA" w:rsidRDefault="00B439AA" w:rsidP="00B439AA">
      <w:pPr>
        <w:spacing w:line="360" w:lineRule="auto"/>
        <w:ind w:left="4248" w:firstLine="708"/>
        <w:jc w:val="both"/>
        <w:rPr>
          <w:rFonts w:ascii="Times New Roman" w:eastAsia="Calibri" w:hAnsi="Times New Roman" w:cs="Times New Roman"/>
          <w:b/>
          <w:sz w:val="23"/>
          <w:szCs w:val="23"/>
        </w:rPr>
      </w:pPr>
      <w:r w:rsidRPr="00B439AA">
        <w:rPr>
          <w:rFonts w:ascii="Times New Roman" w:eastAsia="Calibri" w:hAnsi="Times New Roman" w:cs="Times New Roman"/>
          <w:b/>
          <w:sz w:val="23"/>
          <w:szCs w:val="23"/>
        </w:rPr>
        <w:t>aplikantów aplikacji sędziowskiej</w:t>
      </w:r>
    </w:p>
    <w:p w:rsidR="00B439AA" w:rsidRPr="00B439AA" w:rsidRDefault="00B439AA" w:rsidP="00B439AA">
      <w:pPr>
        <w:spacing w:line="360" w:lineRule="auto"/>
        <w:ind w:firstLine="708"/>
        <w:jc w:val="both"/>
        <w:rPr>
          <w:rFonts w:ascii="Times New Roman" w:eastAsia="Calibri" w:hAnsi="Times New Roman" w:cs="Times New Roman"/>
          <w:sz w:val="23"/>
          <w:szCs w:val="23"/>
        </w:rPr>
      </w:pPr>
    </w:p>
    <w:p w:rsidR="00B439AA" w:rsidRPr="00B439AA" w:rsidRDefault="002E5328" w:rsidP="00B439AA">
      <w:pPr>
        <w:spacing w:line="360" w:lineRule="auto"/>
        <w:ind w:firstLine="708"/>
        <w:jc w:val="both"/>
        <w:rPr>
          <w:rFonts w:ascii="Times New Roman" w:eastAsia="Calibri" w:hAnsi="Times New Roman" w:cs="Times New Roman"/>
          <w:sz w:val="23"/>
          <w:szCs w:val="23"/>
        </w:rPr>
      </w:pPr>
      <w:r w:rsidRPr="00674351">
        <w:rPr>
          <w:rFonts w:ascii="Times New Roman" w:hAnsi="Times New Roman"/>
        </w:rPr>
        <w:t xml:space="preserve">W oparciu o § </w:t>
      </w:r>
      <w:r>
        <w:rPr>
          <w:rFonts w:ascii="Times New Roman" w:hAnsi="Times New Roman"/>
        </w:rPr>
        <w:t>1 ust. 2</w:t>
      </w:r>
      <w:r w:rsidRPr="00674351">
        <w:rPr>
          <w:rFonts w:ascii="Times New Roman" w:hAnsi="Times New Roman"/>
        </w:rPr>
        <w:t xml:space="preserve"> </w:t>
      </w:r>
      <w:r>
        <w:rPr>
          <w:rFonts w:ascii="Times New Roman" w:hAnsi="Times New Roman"/>
        </w:rPr>
        <w:t>zarządzenia</w:t>
      </w:r>
      <w:r w:rsidRPr="005F0FD6">
        <w:rPr>
          <w:rFonts w:ascii="Times New Roman" w:hAnsi="Times New Roman"/>
        </w:rPr>
        <w:t xml:space="preserve"> Dyrektora Krajowej S</w:t>
      </w:r>
      <w:r>
        <w:rPr>
          <w:rFonts w:ascii="Times New Roman" w:hAnsi="Times New Roman"/>
        </w:rPr>
        <w:t xml:space="preserve">zkoły Sądownictwa i Prokuratury </w:t>
      </w:r>
      <w:r w:rsidRPr="005F0FD6">
        <w:rPr>
          <w:rFonts w:ascii="Times New Roman" w:hAnsi="Times New Roman"/>
        </w:rPr>
        <w:t>Nr 539/2021 z dnia 27 października 2021 r. w sprawie szczegółowych zasad odbywania praktyk przez aplikantów aplikacji sędziowskiej i aplikacji prokuratorskiej</w:t>
      </w:r>
      <w:r>
        <w:rPr>
          <w:rFonts w:ascii="Times New Roman" w:hAnsi="Times New Roman"/>
        </w:rPr>
        <w:t xml:space="preserve"> </w:t>
      </w:r>
      <w:r w:rsidR="00B439AA" w:rsidRPr="00B439AA">
        <w:rPr>
          <w:rFonts w:ascii="Times New Roman" w:eastAsia="Calibri" w:hAnsi="Times New Roman" w:cs="Times New Roman"/>
          <w:sz w:val="23"/>
          <w:szCs w:val="23"/>
        </w:rPr>
        <w:t>uprzejmie przedstawiam szczegółowy zakres tematyczny, który winien być przedmiotem praktyk aplikantów 10 rocznika aplikacji sędziowsk</w:t>
      </w:r>
      <w:r>
        <w:rPr>
          <w:rFonts w:ascii="Times New Roman" w:eastAsia="Calibri" w:hAnsi="Times New Roman" w:cs="Times New Roman"/>
          <w:sz w:val="23"/>
          <w:szCs w:val="23"/>
        </w:rPr>
        <w:t xml:space="preserve">iej odbywanych w terminie od </w:t>
      </w:r>
      <w:r w:rsidRPr="002E5328">
        <w:rPr>
          <w:rFonts w:ascii="Times New Roman" w:eastAsia="Calibri" w:hAnsi="Times New Roman" w:cs="Times New Roman"/>
          <w:b/>
          <w:sz w:val="23"/>
          <w:szCs w:val="23"/>
        </w:rPr>
        <w:t xml:space="preserve">13 do </w:t>
      </w:r>
      <w:r w:rsidR="00B439AA" w:rsidRPr="002E5328">
        <w:rPr>
          <w:rFonts w:ascii="Times New Roman" w:eastAsia="Calibri" w:hAnsi="Times New Roman" w:cs="Times New Roman"/>
          <w:b/>
          <w:sz w:val="23"/>
          <w:szCs w:val="23"/>
        </w:rPr>
        <w:t>31 grudnia 2021 r.</w:t>
      </w:r>
      <w:r w:rsidR="00B439AA" w:rsidRPr="00B439AA">
        <w:rPr>
          <w:rFonts w:ascii="Times New Roman" w:eastAsia="Calibri" w:hAnsi="Times New Roman" w:cs="Times New Roman"/>
          <w:sz w:val="23"/>
          <w:szCs w:val="23"/>
        </w:rPr>
        <w:t xml:space="preserve"> po XXXII zjeździe aplikacji sędziowskiej, </w:t>
      </w:r>
      <w:r>
        <w:rPr>
          <w:rFonts w:ascii="Times New Roman" w:eastAsia="Calibri" w:hAnsi="Times New Roman" w:cs="Times New Roman"/>
          <w:sz w:val="23"/>
          <w:szCs w:val="23"/>
        </w:rPr>
        <w:t xml:space="preserve">a </w:t>
      </w:r>
      <w:r w:rsidR="00B439AA" w:rsidRPr="00B439AA">
        <w:rPr>
          <w:rFonts w:ascii="Times New Roman" w:eastAsia="Calibri" w:hAnsi="Times New Roman" w:cs="Times New Roman"/>
          <w:sz w:val="23"/>
          <w:szCs w:val="23"/>
        </w:rPr>
        <w:t xml:space="preserve">który odbędzie się </w:t>
      </w:r>
      <w:r>
        <w:rPr>
          <w:rFonts w:ascii="Times New Roman" w:eastAsia="Calibri" w:hAnsi="Times New Roman" w:cs="Times New Roman"/>
          <w:sz w:val="23"/>
          <w:szCs w:val="23"/>
        </w:rPr>
        <w:t xml:space="preserve">od 6 do </w:t>
      </w:r>
      <w:r w:rsidR="00B439AA" w:rsidRPr="00B439AA">
        <w:rPr>
          <w:rFonts w:ascii="Times New Roman" w:eastAsia="Calibri" w:hAnsi="Times New Roman" w:cs="Times New Roman"/>
          <w:sz w:val="23"/>
          <w:szCs w:val="23"/>
        </w:rPr>
        <w:t xml:space="preserve">10 grudnia 2021 r. </w:t>
      </w:r>
    </w:p>
    <w:p w:rsidR="00B439AA" w:rsidRPr="00B439AA" w:rsidRDefault="00B439AA" w:rsidP="00B439AA">
      <w:pPr>
        <w:spacing w:line="360" w:lineRule="auto"/>
        <w:ind w:firstLine="708"/>
        <w:jc w:val="both"/>
        <w:rPr>
          <w:rFonts w:ascii="Times New Roman" w:eastAsia="Calibri" w:hAnsi="Times New Roman" w:cs="Times New Roman"/>
          <w:sz w:val="23"/>
          <w:szCs w:val="23"/>
        </w:rPr>
      </w:pPr>
      <w:r w:rsidRPr="00B439AA">
        <w:rPr>
          <w:rFonts w:ascii="Times New Roman" w:eastAsia="Calibri" w:hAnsi="Times New Roman" w:cs="Times New Roman"/>
          <w:sz w:val="23"/>
          <w:szCs w:val="23"/>
        </w:rPr>
        <w:t xml:space="preserve">Założeniem praktyki, co do zasady, jest zaznajomienie aplikantów z czynnościami              i metodyką pracy sędziego oraz doskonalenie umiejętności wykorzystania wiedzy teoretycznej i znajomości orzecznictwa przy sporządzaniu projektów orzeczeń, zarządzeń i pism procesowych, a także poprzez uczestniczenie w czynnościach podejmowanych przez patrona praktyki. Praktyka winna utrwalać wiedzę zdobytą przez aplikanta podczas poprzedzających ją zajęć seminaryjnych w ramach zjazdu. </w:t>
      </w:r>
    </w:p>
    <w:p w:rsidR="00B439AA" w:rsidRPr="00B439AA" w:rsidRDefault="00B439AA" w:rsidP="00B439AA">
      <w:pPr>
        <w:spacing w:before="120" w:after="0" w:line="360" w:lineRule="auto"/>
        <w:ind w:firstLine="708"/>
        <w:jc w:val="both"/>
        <w:rPr>
          <w:rFonts w:ascii="Times New Roman" w:eastAsia="Calibri" w:hAnsi="Times New Roman" w:cs="Times New Roman"/>
          <w:sz w:val="23"/>
          <w:szCs w:val="23"/>
        </w:rPr>
      </w:pPr>
      <w:r w:rsidRPr="00B439AA">
        <w:rPr>
          <w:rFonts w:ascii="Times New Roman" w:eastAsia="Calibri" w:hAnsi="Times New Roman" w:cs="Times New Roman"/>
          <w:sz w:val="23"/>
          <w:szCs w:val="23"/>
        </w:rPr>
        <w:t xml:space="preserve">Zgodnie z programem aplikacji sędziowskiej realizowanym przez aplikantów 10 rocznika tej aplikacji, zjazd XXXII ma charakter repetytoryjny, a prowadzone na nim zajęcia mają przede wszystkim na celu powtórzenie zagadnień węzłowych z punktu widzenia egzaminu sędziowskiego, przy uwzględnieniu zmian prawa wprowadzonych po zjeździe, na którym dane zagadnienie zostało pierwotnie omówione, a także utrwalenie i uporządkowanie wiedzy zdobytej w toku całego cyklu szkolenia. Zjazd ten jest poświęcony powtórzeniu materiału z zakresu szeroko rozumianego bloku </w:t>
      </w:r>
      <w:r w:rsidRPr="00B439AA">
        <w:rPr>
          <w:rFonts w:ascii="Times New Roman" w:eastAsia="Calibri" w:hAnsi="Times New Roman" w:cs="Times New Roman"/>
          <w:sz w:val="23"/>
          <w:szCs w:val="23"/>
        </w:rPr>
        <w:lastRenderedPageBreak/>
        <w:t>cywilnego, który obejmuje prawo cywilne (materialne i procesowe), prawo gospodarcze, prawo pracy i ubezpieczeń społecznych oraz prawo rodzinne i opiekuńcze. Po zakończeniu zjazdu aplikanci mają odbyć trwającą 3 tygodnie praktykę w sądzie rejonowym, w wydziale cywilnym, jeżeli w danym sądzie wyodrębniono wydział procesowy i nieprocesowy, to w każdym wydziale praktyka trwa połowę tego okresu.</w:t>
      </w:r>
    </w:p>
    <w:p w:rsidR="00B439AA" w:rsidRPr="00B439AA" w:rsidRDefault="00B439AA" w:rsidP="00B439AA">
      <w:pPr>
        <w:spacing w:before="120" w:after="0" w:line="360" w:lineRule="auto"/>
        <w:ind w:firstLine="708"/>
        <w:jc w:val="both"/>
        <w:rPr>
          <w:rFonts w:ascii="Times New Roman" w:eastAsia="Calibri" w:hAnsi="Times New Roman" w:cs="Times New Roman"/>
          <w:sz w:val="23"/>
          <w:szCs w:val="23"/>
        </w:rPr>
      </w:pPr>
      <w:r w:rsidRPr="00B439AA">
        <w:rPr>
          <w:rFonts w:ascii="Times New Roman" w:eastAsia="Calibri" w:hAnsi="Times New Roman" w:cs="Times New Roman"/>
          <w:sz w:val="23"/>
          <w:szCs w:val="23"/>
        </w:rPr>
        <w:t>W celu zapewnienia możliwie najpełniejszej realizacji wskazanych wyżej założeń Krajowa Szkoła stworzyła aplikantom możliwość współuczestniczenia w kształtowaniu zakresu tematycznego XXXII zjazdu poprzez nadsyłanie w zakreślonym terminie własnych propozycji dotyczących selekcji zagadnień mających być przedmiotem zajęć w czasie zjazdu, a także zgłaszanie bardziej szczegółowych pytań dotyczących kwestii, które, ich zdaniem, nie zostały dostatecznie wyjaśnione w czasie zjazdów w toku aplikacji albo budzą wątpliwości, w szczególności z uwagi na rożną praktykę sądów w całej Polsce.</w:t>
      </w:r>
    </w:p>
    <w:p w:rsidR="00B439AA" w:rsidRPr="00B439AA" w:rsidRDefault="00B439AA" w:rsidP="00B439AA">
      <w:pPr>
        <w:spacing w:before="120" w:after="0" w:line="360" w:lineRule="auto"/>
        <w:ind w:firstLine="708"/>
        <w:jc w:val="both"/>
        <w:rPr>
          <w:rFonts w:ascii="Times New Roman" w:eastAsia="Calibri" w:hAnsi="Times New Roman" w:cs="Times New Roman"/>
          <w:sz w:val="23"/>
          <w:szCs w:val="23"/>
        </w:rPr>
      </w:pPr>
      <w:r w:rsidRPr="00B439AA">
        <w:rPr>
          <w:rFonts w:ascii="Times New Roman" w:eastAsia="Calibri" w:hAnsi="Times New Roman" w:cs="Times New Roman"/>
          <w:sz w:val="23"/>
          <w:szCs w:val="23"/>
        </w:rPr>
        <w:t xml:space="preserve">Mając zatem na uwadze opisany wyżej charakter i cel zajęć na XXXII zjeździe oraz najistotniejsze zagadnienia z zakresu prawa cywilnego materialnego i procesowego wskazane przez aplikantów jako wymagające powtórnego omówienia i utrwalenia przed egzaminem sędziowskim, patron praktyki oraz patron koordynator powinni przy pracy z aplikantami podczas praktyki poświęcić szczególną uwagę następującym zagadnieniom: </w:t>
      </w:r>
    </w:p>
    <w:p w:rsidR="00B439AA" w:rsidRPr="00B439AA" w:rsidRDefault="00B439AA" w:rsidP="00B439AA">
      <w:pPr>
        <w:numPr>
          <w:ilvl w:val="0"/>
          <w:numId w:val="2"/>
        </w:numPr>
        <w:spacing w:before="120" w:after="0" w:line="360" w:lineRule="auto"/>
        <w:contextualSpacing/>
        <w:jc w:val="both"/>
        <w:rPr>
          <w:rFonts w:ascii="Times New Roman" w:eastAsia="Calibri" w:hAnsi="Times New Roman" w:cs="Times New Roman"/>
          <w:sz w:val="23"/>
          <w:szCs w:val="23"/>
        </w:rPr>
      </w:pPr>
      <w:r w:rsidRPr="00B439AA">
        <w:rPr>
          <w:rFonts w:ascii="Times New Roman" w:eastAsia="Calibri" w:hAnsi="Times New Roman" w:cs="Times New Roman"/>
          <w:sz w:val="23"/>
          <w:szCs w:val="23"/>
        </w:rPr>
        <w:t xml:space="preserve">z zakresu </w:t>
      </w:r>
      <w:r w:rsidRPr="00B439AA">
        <w:rPr>
          <w:rFonts w:ascii="Times New Roman" w:eastAsia="Calibri" w:hAnsi="Times New Roman" w:cs="Times New Roman"/>
          <w:b/>
          <w:sz w:val="23"/>
          <w:szCs w:val="23"/>
        </w:rPr>
        <w:t>prawa materialnego:</w:t>
      </w:r>
    </w:p>
    <w:p w:rsidR="00B439AA" w:rsidRPr="00B439AA" w:rsidRDefault="00B439AA" w:rsidP="002E5328">
      <w:pPr>
        <w:numPr>
          <w:ilvl w:val="0"/>
          <w:numId w:val="3"/>
        </w:numPr>
        <w:spacing w:before="120" w:after="0" w:line="360" w:lineRule="auto"/>
        <w:ind w:left="357" w:hanging="357"/>
        <w:contextualSpacing/>
        <w:jc w:val="both"/>
        <w:rPr>
          <w:rFonts w:ascii="Times New Roman" w:eastAsia="Calibri" w:hAnsi="Times New Roman" w:cs="Times New Roman"/>
          <w:sz w:val="23"/>
          <w:szCs w:val="23"/>
        </w:rPr>
      </w:pPr>
      <w:r w:rsidRPr="00B439AA">
        <w:rPr>
          <w:rFonts w:ascii="Times New Roman" w:eastAsia="Calibri" w:hAnsi="Times New Roman" w:cs="Times New Roman"/>
          <w:sz w:val="23"/>
          <w:szCs w:val="23"/>
        </w:rPr>
        <w:t>przedawnienie po zmianach wprowadzonych ustawą z dnia 13 kwietnia 2018 r. o zmianie ustawy – Kodeks cywilny oraz niektórych innych ustaw (Dz.U. z 2018 r. poz. 1104); stosowanie przepisów przejściowych; przedawnienie odsetek;</w:t>
      </w:r>
    </w:p>
    <w:p w:rsidR="00B439AA" w:rsidRPr="00B439AA" w:rsidRDefault="00B439AA" w:rsidP="00B439AA">
      <w:pPr>
        <w:numPr>
          <w:ilvl w:val="0"/>
          <w:numId w:val="3"/>
        </w:numPr>
        <w:spacing w:before="120" w:after="0" w:line="360" w:lineRule="auto"/>
        <w:contextualSpacing/>
        <w:jc w:val="both"/>
        <w:rPr>
          <w:rFonts w:ascii="Times New Roman" w:eastAsia="Calibri" w:hAnsi="Times New Roman" w:cs="Times New Roman"/>
          <w:sz w:val="23"/>
          <w:szCs w:val="23"/>
        </w:rPr>
      </w:pPr>
      <w:r w:rsidRPr="00B439AA">
        <w:rPr>
          <w:rFonts w:ascii="Times New Roman" w:eastAsia="Calibri" w:hAnsi="Times New Roman" w:cs="Times New Roman"/>
          <w:sz w:val="23"/>
          <w:szCs w:val="23"/>
        </w:rPr>
        <w:t>umowa o dzieło i umowa o roboty budowlane, ze szczególnym uwzględnieniem kryteriów rozróżnienia tych dwóch typów umów;</w:t>
      </w:r>
    </w:p>
    <w:p w:rsidR="00B439AA" w:rsidRPr="00B439AA" w:rsidRDefault="00B439AA" w:rsidP="00B439AA">
      <w:pPr>
        <w:numPr>
          <w:ilvl w:val="0"/>
          <w:numId w:val="3"/>
        </w:numPr>
        <w:spacing w:before="120" w:after="0" w:line="360" w:lineRule="auto"/>
        <w:contextualSpacing/>
        <w:jc w:val="both"/>
        <w:rPr>
          <w:rFonts w:ascii="Times New Roman" w:eastAsia="Calibri" w:hAnsi="Times New Roman" w:cs="Times New Roman"/>
          <w:sz w:val="23"/>
          <w:szCs w:val="23"/>
        </w:rPr>
      </w:pPr>
      <w:r w:rsidRPr="00B439AA">
        <w:rPr>
          <w:rFonts w:ascii="Times New Roman" w:eastAsia="Calibri" w:hAnsi="Times New Roman" w:cs="Times New Roman"/>
          <w:sz w:val="23"/>
          <w:szCs w:val="23"/>
        </w:rPr>
        <w:t>umowa najmu;</w:t>
      </w:r>
    </w:p>
    <w:p w:rsidR="00B439AA" w:rsidRPr="00B439AA" w:rsidRDefault="00B439AA" w:rsidP="00B439AA">
      <w:pPr>
        <w:numPr>
          <w:ilvl w:val="0"/>
          <w:numId w:val="3"/>
        </w:numPr>
        <w:spacing w:before="120" w:after="0" w:line="360" w:lineRule="auto"/>
        <w:contextualSpacing/>
        <w:jc w:val="both"/>
        <w:rPr>
          <w:rFonts w:ascii="Times New Roman" w:eastAsia="Calibri" w:hAnsi="Times New Roman" w:cs="Times New Roman"/>
          <w:sz w:val="23"/>
          <w:szCs w:val="23"/>
        </w:rPr>
      </w:pPr>
      <w:r w:rsidRPr="00B439AA">
        <w:rPr>
          <w:rFonts w:ascii="Times New Roman" w:eastAsia="Calibri" w:hAnsi="Times New Roman" w:cs="Times New Roman"/>
          <w:sz w:val="23"/>
          <w:szCs w:val="23"/>
        </w:rPr>
        <w:t>roszczenia z rękojmi, gwarancji i odszkodowawcze z art. 471 k.c.;</w:t>
      </w:r>
    </w:p>
    <w:p w:rsidR="00B439AA" w:rsidRPr="00B439AA" w:rsidRDefault="00B439AA" w:rsidP="00B439AA">
      <w:pPr>
        <w:numPr>
          <w:ilvl w:val="0"/>
          <w:numId w:val="3"/>
        </w:numPr>
        <w:spacing w:after="0" w:line="360" w:lineRule="auto"/>
        <w:ind w:left="357" w:hanging="357"/>
        <w:jc w:val="both"/>
        <w:rPr>
          <w:rFonts w:ascii="Times New Roman" w:eastAsia="Calibri" w:hAnsi="Times New Roman" w:cs="Times New Roman"/>
          <w:sz w:val="23"/>
          <w:szCs w:val="23"/>
        </w:rPr>
      </w:pPr>
      <w:r w:rsidRPr="00B439AA">
        <w:rPr>
          <w:rFonts w:ascii="Times New Roman" w:eastAsia="Calibri" w:hAnsi="Times New Roman" w:cs="Times New Roman"/>
          <w:sz w:val="23"/>
          <w:szCs w:val="23"/>
        </w:rPr>
        <w:t>zachowek, ze szczególnym uwzględnieniem problematyki doliczania darowizn do spadku;</w:t>
      </w:r>
    </w:p>
    <w:p w:rsidR="00B439AA" w:rsidRPr="00B439AA" w:rsidRDefault="00B439AA" w:rsidP="00B439AA">
      <w:pPr>
        <w:numPr>
          <w:ilvl w:val="0"/>
          <w:numId w:val="3"/>
        </w:numPr>
        <w:spacing w:after="120" w:line="360" w:lineRule="auto"/>
        <w:ind w:left="357" w:hanging="357"/>
        <w:jc w:val="both"/>
        <w:rPr>
          <w:rFonts w:ascii="Times New Roman" w:eastAsia="Calibri" w:hAnsi="Times New Roman" w:cs="Times New Roman"/>
          <w:sz w:val="23"/>
          <w:szCs w:val="23"/>
        </w:rPr>
      </w:pPr>
      <w:r w:rsidRPr="00B439AA">
        <w:rPr>
          <w:rFonts w:ascii="Times New Roman" w:eastAsia="Calibri" w:hAnsi="Times New Roman" w:cs="Times New Roman"/>
          <w:sz w:val="23"/>
          <w:szCs w:val="23"/>
        </w:rPr>
        <w:t>odsetki i rozróżnianie ich rodzajów (ustawowe z art. 359 § 2 k.c.; maksymalne z art. 359 §2</w:t>
      </w:r>
      <w:r w:rsidRPr="00B439AA">
        <w:rPr>
          <w:rFonts w:ascii="Times New Roman" w:eastAsia="Calibri" w:hAnsi="Times New Roman" w:cs="Times New Roman"/>
          <w:sz w:val="23"/>
          <w:szCs w:val="23"/>
          <w:vertAlign w:val="superscript"/>
        </w:rPr>
        <w:t>1</w:t>
      </w:r>
      <w:r w:rsidRPr="00B439AA">
        <w:rPr>
          <w:rFonts w:ascii="Times New Roman" w:eastAsia="Calibri" w:hAnsi="Times New Roman" w:cs="Times New Roman"/>
          <w:sz w:val="23"/>
          <w:szCs w:val="23"/>
        </w:rPr>
        <w:t xml:space="preserve"> k.c.; umowne z art. 359 k.c.; ustawowe za opóźnienie z art. 481 § 2 k.c.; maksymalne za opóźnienie z art. 481 § 2</w:t>
      </w:r>
      <w:r w:rsidRPr="00B439AA">
        <w:rPr>
          <w:rFonts w:ascii="Times New Roman" w:eastAsia="Calibri" w:hAnsi="Times New Roman" w:cs="Times New Roman"/>
          <w:sz w:val="23"/>
          <w:szCs w:val="23"/>
          <w:vertAlign w:val="superscript"/>
        </w:rPr>
        <w:t>1</w:t>
      </w:r>
      <w:r w:rsidRPr="00B439AA">
        <w:rPr>
          <w:rFonts w:ascii="Times New Roman" w:eastAsia="Calibri" w:hAnsi="Times New Roman" w:cs="Times New Roman"/>
          <w:sz w:val="23"/>
          <w:szCs w:val="23"/>
        </w:rPr>
        <w:t xml:space="preserve"> k.c.; umowne za opóźnienie z art. 481 k.c.; ustawowe za opóźnienie w transakcjach handlowych z art. 4 ust. 3 lit a) ustawy o przeciwdziałaniu nadmiernym opóźnieniom w transakcjach handlowych);</w:t>
      </w:r>
    </w:p>
    <w:p w:rsidR="00B439AA" w:rsidRPr="00B439AA" w:rsidRDefault="00B439AA" w:rsidP="00B439AA">
      <w:pPr>
        <w:numPr>
          <w:ilvl w:val="0"/>
          <w:numId w:val="3"/>
        </w:numPr>
        <w:spacing w:after="120" w:line="360" w:lineRule="auto"/>
        <w:ind w:left="357" w:hanging="357"/>
        <w:jc w:val="both"/>
        <w:rPr>
          <w:rFonts w:ascii="Times New Roman" w:eastAsia="Calibri" w:hAnsi="Times New Roman" w:cs="Times New Roman"/>
          <w:sz w:val="23"/>
          <w:szCs w:val="23"/>
        </w:rPr>
      </w:pPr>
      <w:r w:rsidRPr="00B439AA">
        <w:rPr>
          <w:rFonts w:ascii="Times New Roman" w:eastAsia="Calibri" w:hAnsi="Times New Roman" w:cs="Times New Roman"/>
          <w:sz w:val="23"/>
          <w:szCs w:val="23"/>
        </w:rPr>
        <w:t>odwołanie darowizny art. 898 k.c.</w:t>
      </w:r>
      <w:r w:rsidR="002E5328">
        <w:rPr>
          <w:rFonts w:ascii="Times New Roman" w:eastAsia="Calibri" w:hAnsi="Times New Roman" w:cs="Times New Roman"/>
          <w:sz w:val="23"/>
          <w:szCs w:val="23"/>
        </w:rPr>
        <w:t>;</w:t>
      </w:r>
    </w:p>
    <w:p w:rsidR="00B439AA" w:rsidRPr="00B439AA" w:rsidRDefault="00B439AA" w:rsidP="00B439AA">
      <w:pPr>
        <w:numPr>
          <w:ilvl w:val="0"/>
          <w:numId w:val="2"/>
        </w:numPr>
        <w:spacing w:line="360" w:lineRule="auto"/>
        <w:contextualSpacing/>
        <w:jc w:val="both"/>
        <w:rPr>
          <w:rFonts w:ascii="Times New Roman" w:eastAsia="Calibri" w:hAnsi="Times New Roman" w:cs="Times New Roman"/>
          <w:sz w:val="23"/>
          <w:szCs w:val="23"/>
        </w:rPr>
      </w:pPr>
      <w:r w:rsidRPr="00B439AA">
        <w:rPr>
          <w:rFonts w:ascii="Times New Roman" w:eastAsia="Calibri" w:hAnsi="Times New Roman" w:cs="Times New Roman"/>
          <w:sz w:val="23"/>
          <w:szCs w:val="23"/>
        </w:rPr>
        <w:t xml:space="preserve">z zakresu </w:t>
      </w:r>
      <w:r w:rsidRPr="00B439AA">
        <w:rPr>
          <w:rFonts w:ascii="Times New Roman" w:eastAsia="Calibri" w:hAnsi="Times New Roman" w:cs="Times New Roman"/>
          <w:b/>
          <w:sz w:val="23"/>
          <w:szCs w:val="23"/>
        </w:rPr>
        <w:t>prawa procesowego</w:t>
      </w:r>
      <w:r w:rsidRPr="00B439AA">
        <w:rPr>
          <w:rFonts w:ascii="Times New Roman" w:eastAsia="Calibri" w:hAnsi="Times New Roman" w:cs="Times New Roman"/>
          <w:sz w:val="23"/>
          <w:szCs w:val="23"/>
        </w:rPr>
        <w:t>:</w:t>
      </w:r>
    </w:p>
    <w:p w:rsidR="00B439AA" w:rsidRPr="00B439AA" w:rsidRDefault="00B439AA" w:rsidP="00B439AA">
      <w:pPr>
        <w:numPr>
          <w:ilvl w:val="0"/>
          <w:numId w:val="1"/>
        </w:numPr>
        <w:spacing w:line="360" w:lineRule="auto"/>
        <w:contextualSpacing/>
        <w:jc w:val="both"/>
        <w:rPr>
          <w:rFonts w:ascii="Times New Roman" w:eastAsia="Andale Sans UI" w:hAnsi="Times New Roman" w:cs="Times New Roman"/>
          <w:kern w:val="3"/>
          <w:sz w:val="23"/>
          <w:szCs w:val="23"/>
        </w:rPr>
      </w:pPr>
      <w:r w:rsidRPr="00B439AA">
        <w:rPr>
          <w:rFonts w:ascii="Times New Roman" w:eastAsia="Andale Sans UI" w:hAnsi="Times New Roman" w:cs="Times New Roman"/>
          <w:kern w:val="3"/>
          <w:sz w:val="23"/>
          <w:szCs w:val="23"/>
        </w:rPr>
        <w:t>metodyka prowadzenia posiedzenia przygotowawczego oraz sporządzania planu rozprawy;</w:t>
      </w:r>
    </w:p>
    <w:p w:rsidR="00B439AA" w:rsidRPr="00B439AA" w:rsidRDefault="00B439AA" w:rsidP="00B439AA">
      <w:pPr>
        <w:numPr>
          <w:ilvl w:val="0"/>
          <w:numId w:val="1"/>
        </w:numPr>
        <w:spacing w:line="360" w:lineRule="auto"/>
        <w:contextualSpacing/>
        <w:jc w:val="both"/>
        <w:rPr>
          <w:rFonts w:ascii="Times New Roman" w:eastAsia="Andale Sans UI" w:hAnsi="Times New Roman" w:cs="Times New Roman"/>
          <w:kern w:val="3"/>
          <w:sz w:val="23"/>
          <w:szCs w:val="23"/>
        </w:rPr>
      </w:pPr>
      <w:r w:rsidRPr="00B439AA">
        <w:rPr>
          <w:rFonts w:ascii="Times New Roman" w:eastAsia="Andale Sans UI" w:hAnsi="Times New Roman" w:cs="Times New Roman"/>
          <w:kern w:val="3"/>
          <w:sz w:val="23"/>
          <w:szCs w:val="23"/>
        </w:rPr>
        <w:lastRenderedPageBreak/>
        <w:t>dowód z pisemnych zeznań świadka (art. 271</w:t>
      </w:r>
      <w:r w:rsidRPr="00B439AA">
        <w:rPr>
          <w:rFonts w:ascii="Times New Roman" w:eastAsia="Andale Sans UI" w:hAnsi="Times New Roman" w:cs="Times New Roman"/>
          <w:kern w:val="3"/>
          <w:sz w:val="23"/>
          <w:szCs w:val="23"/>
          <w:vertAlign w:val="superscript"/>
        </w:rPr>
        <w:t>1</w:t>
      </w:r>
      <w:r w:rsidRPr="00B439AA">
        <w:rPr>
          <w:rFonts w:ascii="Times New Roman" w:eastAsia="Andale Sans UI" w:hAnsi="Times New Roman" w:cs="Times New Roman"/>
          <w:kern w:val="3"/>
          <w:sz w:val="23"/>
          <w:szCs w:val="23"/>
        </w:rPr>
        <w:t xml:space="preserve"> k.p.c.) oraz strony (art. 299 k.p.c. w związku z art. 304 k.p.c. w zw. z art. 271</w:t>
      </w:r>
      <w:r w:rsidRPr="00B439AA">
        <w:rPr>
          <w:rFonts w:ascii="Times New Roman" w:eastAsia="Andale Sans UI" w:hAnsi="Times New Roman" w:cs="Times New Roman"/>
          <w:kern w:val="3"/>
          <w:sz w:val="23"/>
          <w:szCs w:val="23"/>
          <w:vertAlign w:val="superscript"/>
        </w:rPr>
        <w:t>1</w:t>
      </w:r>
      <w:r w:rsidRPr="00B439AA">
        <w:rPr>
          <w:rFonts w:ascii="Times New Roman" w:eastAsia="Andale Sans UI" w:hAnsi="Times New Roman" w:cs="Times New Roman"/>
          <w:kern w:val="3"/>
          <w:sz w:val="23"/>
          <w:szCs w:val="23"/>
        </w:rPr>
        <w:t xml:space="preserve"> k.p.c.);</w:t>
      </w:r>
    </w:p>
    <w:p w:rsidR="00B439AA" w:rsidRPr="00B439AA" w:rsidRDefault="00B439AA" w:rsidP="00B439AA">
      <w:pPr>
        <w:numPr>
          <w:ilvl w:val="0"/>
          <w:numId w:val="1"/>
        </w:numPr>
        <w:spacing w:line="360" w:lineRule="auto"/>
        <w:contextualSpacing/>
        <w:jc w:val="both"/>
        <w:rPr>
          <w:rFonts w:ascii="Times New Roman" w:eastAsia="Andale Sans UI" w:hAnsi="Times New Roman" w:cs="Times New Roman"/>
          <w:kern w:val="3"/>
          <w:sz w:val="23"/>
          <w:szCs w:val="23"/>
        </w:rPr>
      </w:pPr>
      <w:r w:rsidRPr="00B439AA">
        <w:rPr>
          <w:rFonts w:ascii="Times New Roman" w:eastAsia="Andale Sans UI" w:hAnsi="Times New Roman" w:cs="Times New Roman"/>
          <w:kern w:val="3"/>
          <w:sz w:val="23"/>
          <w:szCs w:val="23"/>
        </w:rPr>
        <w:t>przedmiotowa zmiana powództwa art. 193 k.p.c., podmiotowa zmiana powództwa art. 194- 198 k.p.c.;</w:t>
      </w:r>
    </w:p>
    <w:p w:rsidR="00B439AA" w:rsidRPr="00B439AA" w:rsidRDefault="00B439AA" w:rsidP="00B439AA">
      <w:pPr>
        <w:numPr>
          <w:ilvl w:val="0"/>
          <w:numId w:val="1"/>
        </w:numPr>
        <w:spacing w:line="360" w:lineRule="auto"/>
        <w:contextualSpacing/>
        <w:jc w:val="both"/>
        <w:rPr>
          <w:rFonts w:ascii="Times New Roman" w:eastAsia="Andale Sans UI" w:hAnsi="Times New Roman" w:cs="Times New Roman"/>
          <w:kern w:val="3"/>
          <w:sz w:val="23"/>
          <w:szCs w:val="23"/>
        </w:rPr>
      </w:pPr>
      <w:r w:rsidRPr="00B439AA">
        <w:rPr>
          <w:rFonts w:ascii="Times New Roman" w:eastAsia="Andale Sans UI" w:hAnsi="Times New Roman" w:cs="Times New Roman"/>
          <w:kern w:val="3"/>
          <w:sz w:val="23"/>
          <w:szCs w:val="23"/>
        </w:rPr>
        <w:t>podstawa faktyczna rozstrzygnięcia, ze szczególnym uwzględnieniem zasady związania sądu żądaniem (art. 321 k.p.c.) oraz nakazu uprzedzenia o możliwości rozstrzygnięcia na innej podstawie prawnej (art. 156</w:t>
      </w:r>
      <w:r w:rsidRPr="00B439AA">
        <w:rPr>
          <w:rFonts w:ascii="Times New Roman" w:eastAsia="Andale Sans UI" w:hAnsi="Times New Roman" w:cs="Times New Roman"/>
          <w:kern w:val="3"/>
          <w:sz w:val="23"/>
          <w:szCs w:val="23"/>
          <w:vertAlign w:val="superscript"/>
        </w:rPr>
        <w:t>2</w:t>
      </w:r>
      <w:r w:rsidRPr="00B439AA">
        <w:rPr>
          <w:rFonts w:ascii="Times New Roman" w:eastAsia="Andale Sans UI" w:hAnsi="Times New Roman" w:cs="Times New Roman"/>
          <w:kern w:val="3"/>
          <w:sz w:val="23"/>
          <w:szCs w:val="23"/>
        </w:rPr>
        <w:t xml:space="preserve"> k.p.c.);</w:t>
      </w:r>
    </w:p>
    <w:p w:rsidR="00B439AA" w:rsidRPr="00B439AA" w:rsidRDefault="00B439AA" w:rsidP="00B439AA">
      <w:pPr>
        <w:numPr>
          <w:ilvl w:val="0"/>
          <w:numId w:val="1"/>
        </w:numPr>
        <w:spacing w:line="360" w:lineRule="auto"/>
        <w:contextualSpacing/>
        <w:jc w:val="both"/>
        <w:rPr>
          <w:rFonts w:ascii="Times New Roman" w:eastAsia="Andale Sans UI" w:hAnsi="Times New Roman" w:cs="Times New Roman"/>
          <w:kern w:val="3"/>
          <w:sz w:val="23"/>
          <w:szCs w:val="23"/>
        </w:rPr>
      </w:pPr>
      <w:r w:rsidRPr="00B439AA">
        <w:rPr>
          <w:rFonts w:ascii="Times New Roman" w:eastAsia="Andale Sans UI" w:hAnsi="Times New Roman" w:cs="Times New Roman"/>
          <w:kern w:val="3"/>
          <w:sz w:val="23"/>
          <w:szCs w:val="23"/>
        </w:rPr>
        <w:t xml:space="preserve">prawidłowe redagowanie wyroku obejmującego rozstrzygnięcie o rozłożeniu zasądzonego świadczenia na raty (art. 320 k.p.c.) – w szczególności konieczność oddalenia powództwa w części co do odsetek za okres od dnia wydania wyroku do daty wyznaczającej termin płatności danej raty (jeżeli żądanie pozwu obejmowało zasądzenie odsetek za okres od dnia poprzedzającego datę wydania wyroku do dnia zapłaty) oraz niedopuszczalność zasądzania dalszych odsetek w przypadku uchybienia terminowi płatności danej raty w zakresie, w jakim obejmowała ona skapitalizowane odsetki za okres do dnia wydania wyroku, a żądanie pozwu nie obejmowało zasądzenia odsetek od odsetek; </w:t>
      </w:r>
    </w:p>
    <w:p w:rsidR="00B439AA" w:rsidRPr="00B439AA" w:rsidRDefault="00B439AA" w:rsidP="00B439AA">
      <w:pPr>
        <w:numPr>
          <w:ilvl w:val="0"/>
          <w:numId w:val="1"/>
        </w:numPr>
        <w:spacing w:line="360" w:lineRule="auto"/>
        <w:contextualSpacing/>
        <w:jc w:val="both"/>
        <w:rPr>
          <w:rFonts w:ascii="Times New Roman" w:eastAsia="Andale Sans UI" w:hAnsi="Times New Roman" w:cs="Times New Roman"/>
          <w:kern w:val="3"/>
          <w:sz w:val="23"/>
          <w:szCs w:val="23"/>
        </w:rPr>
      </w:pPr>
      <w:r w:rsidRPr="00B439AA">
        <w:rPr>
          <w:rFonts w:ascii="Times New Roman" w:eastAsia="Andale Sans UI" w:hAnsi="Times New Roman" w:cs="Times New Roman"/>
          <w:kern w:val="3"/>
          <w:sz w:val="23"/>
          <w:szCs w:val="23"/>
        </w:rPr>
        <w:t>metodyka sporządzania uzasadnienia wyroku odpowiadającego wymogom z art. 327</w:t>
      </w:r>
      <w:r w:rsidRPr="00B439AA">
        <w:rPr>
          <w:rFonts w:ascii="Times New Roman" w:eastAsia="Andale Sans UI" w:hAnsi="Times New Roman" w:cs="Times New Roman"/>
          <w:kern w:val="3"/>
          <w:sz w:val="23"/>
          <w:szCs w:val="23"/>
          <w:vertAlign w:val="superscript"/>
        </w:rPr>
        <w:t>1</w:t>
      </w:r>
      <w:r w:rsidRPr="00B439AA">
        <w:rPr>
          <w:rFonts w:ascii="Times New Roman" w:eastAsia="Andale Sans UI" w:hAnsi="Times New Roman" w:cs="Times New Roman"/>
          <w:kern w:val="3"/>
          <w:sz w:val="23"/>
          <w:szCs w:val="23"/>
        </w:rPr>
        <w:t xml:space="preserve"> k.p.c., ze szczególnym uwzględnieniem jego zwięzłości; treść uzasadnienia, o którym mowa w art. 505</w:t>
      </w:r>
      <w:r w:rsidRPr="00B439AA">
        <w:rPr>
          <w:rFonts w:ascii="Times New Roman" w:eastAsia="Andale Sans UI" w:hAnsi="Times New Roman" w:cs="Times New Roman"/>
          <w:kern w:val="3"/>
          <w:sz w:val="23"/>
          <w:szCs w:val="23"/>
          <w:vertAlign w:val="superscript"/>
        </w:rPr>
        <w:t>8</w:t>
      </w:r>
      <w:r w:rsidRPr="00B439AA">
        <w:rPr>
          <w:rFonts w:ascii="Times New Roman" w:eastAsia="Andale Sans UI" w:hAnsi="Times New Roman" w:cs="Times New Roman"/>
          <w:kern w:val="3"/>
          <w:sz w:val="23"/>
          <w:szCs w:val="23"/>
        </w:rPr>
        <w:t xml:space="preserve"> § 4 k.p.c.; </w:t>
      </w:r>
    </w:p>
    <w:p w:rsidR="00B439AA" w:rsidRPr="00B439AA" w:rsidRDefault="00B439AA" w:rsidP="00B439AA">
      <w:pPr>
        <w:numPr>
          <w:ilvl w:val="0"/>
          <w:numId w:val="1"/>
        </w:numPr>
        <w:spacing w:line="360" w:lineRule="auto"/>
        <w:contextualSpacing/>
        <w:jc w:val="both"/>
        <w:rPr>
          <w:rFonts w:ascii="Times New Roman" w:eastAsia="Andale Sans UI" w:hAnsi="Times New Roman" w:cs="Times New Roman"/>
          <w:kern w:val="3"/>
          <w:sz w:val="23"/>
          <w:szCs w:val="23"/>
        </w:rPr>
      </w:pPr>
      <w:r w:rsidRPr="00B439AA">
        <w:rPr>
          <w:rFonts w:ascii="Times New Roman" w:eastAsia="Andale Sans UI" w:hAnsi="Times New Roman" w:cs="Times New Roman"/>
          <w:kern w:val="3"/>
          <w:sz w:val="23"/>
          <w:szCs w:val="23"/>
        </w:rPr>
        <w:t>zażalenie do innego składu sądu I instancji (art. 394</w:t>
      </w:r>
      <w:r w:rsidRPr="00B439AA">
        <w:rPr>
          <w:rFonts w:ascii="Times New Roman" w:eastAsia="Andale Sans UI" w:hAnsi="Times New Roman" w:cs="Times New Roman"/>
          <w:kern w:val="3"/>
          <w:sz w:val="23"/>
          <w:szCs w:val="23"/>
          <w:vertAlign w:val="superscript"/>
        </w:rPr>
        <w:t>1a</w:t>
      </w:r>
      <w:r w:rsidRPr="00B439AA">
        <w:rPr>
          <w:rFonts w:ascii="Times New Roman" w:eastAsia="Andale Sans UI" w:hAnsi="Times New Roman" w:cs="Times New Roman"/>
          <w:kern w:val="3"/>
          <w:sz w:val="23"/>
          <w:szCs w:val="23"/>
        </w:rPr>
        <w:t xml:space="preserve"> k.p.c.), w tym zakres czynności sędziego referenta po wpłynięciu zażalenia (§ 81a regulaminu urzędowania sądów powszechnych);</w:t>
      </w:r>
    </w:p>
    <w:p w:rsidR="00B439AA" w:rsidRPr="00B439AA" w:rsidRDefault="00B439AA" w:rsidP="00B439AA">
      <w:pPr>
        <w:numPr>
          <w:ilvl w:val="0"/>
          <w:numId w:val="1"/>
        </w:numPr>
        <w:spacing w:line="360" w:lineRule="auto"/>
        <w:contextualSpacing/>
        <w:jc w:val="both"/>
        <w:rPr>
          <w:rFonts w:ascii="Times New Roman" w:eastAsia="Andale Sans UI" w:hAnsi="Times New Roman" w:cs="Times New Roman"/>
          <w:kern w:val="3"/>
          <w:sz w:val="23"/>
          <w:szCs w:val="23"/>
        </w:rPr>
      </w:pPr>
      <w:r w:rsidRPr="00B439AA">
        <w:rPr>
          <w:rFonts w:ascii="Times New Roman" w:eastAsia="Andale Sans UI" w:hAnsi="Times New Roman" w:cs="Times New Roman"/>
          <w:kern w:val="3"/>
          <w:sz w:val="23"/>
          <w:szCs w:val="23"/>
        </w:rPr>
        <w:t>odpowiednie stosowanie zasad i przepisów dotyczących procesu do zgłaszania roszczeń o zwrot nakładów i wydatków w postępowaniach działowych (o zniesienie współwłasności, o podział majątku wspólnego, o dział spadku);</w:t>
      </w:r>
    </w:p>
    <w:p w:rsidR="00B439AA" w:rsidRPr="00B439AA" w:rsidRDefault="00B439AA" w:rsidP="00B439AA">
      <w:pPr>
        <w:numPr>
          <w:ilvl w:val="0"/>
          <w:numId w:val="1"/>
        </w:numPr>
        <w:spacing w:line="360" w:lineRule="auto"/>
        <w:contextualSpacing/>
        <w:jc w:val="both"/>
        <w:rPr>
          <w:rFonts w:ascii="Times New Roman" w:eastAsia="Andale Sans UI" w:hAnsi="Times New Roman" w:cs="Times New Roman"/>
          <w:kern w:val="3"/>
          <w:sz w:val="23"/>
          <w:szCs w:val="23"/>
        </w:rPr>
      </w:pPr>
      <w:r w:rsidRPr="00B439AA">
        <w:rPr>
          <w:rFonts w:ascii="Times New Roman" w:eastAsia="Andale Sans UI" w:hAnsi="Times New Roman" w:cs="Times New Roman"/>
          <w:kern w:val="3"/>
          <w:sz w:val="23"/>
          <w:szCs w:val="23"/>
        </w:rPr>
        <w:t>zasady r</w:t>
      </w:r>
      <w:r w:rsidR="002E5328">
        <w:rPr>
          <w:rFonts w:ascii="Times New Roman" w:eastAsia="Andale Sans UI" w:hAnsi="Times New Roman" w:cs="Times New Roman"/>
          <w:kern w:val="3"/>
          <w:sz w:val="23"/>
          <w:szCs w:val="23"/>
        </w:rPr>
        <w:t>ozliczania kosztów postępowania.</w:t>
      </w:r>
    </w:p>
    <w:p w:rsidR="00B439AA" w:rsidRPr="00B439AA" w:rsidRDefault="00B439AA" w:rsidP="00B439AA">
      <w:pPr>
        <w:spacing w:line="360" w:lineRule="auto"/>
        <w:ind w:firstLine="708"/>
        <w:jc w:val="both"/>
        <w:rPr>
          <w:rFonts w:ascii="Times New Roman" w:eastAsia="Calibri" w:hAnsi="Times New Roman" w:cs="Times New Roman"/>
          <w:sz w:val="23"/>
          <w:szCs w:val="23"/>
        </w:rPr>
      </w:pPr>
      <w:r w:rsidRPr="00B439AA">
        <w:rPr>
          <w:rFonts w:ascii="Times New Roman" w:eastAsia="Calibri" w:hAnsi="Times New Roman" w:cs="Times New Roman"/>
          <w:sz w:val="23"/>
          <w:szCs w:val="23"/>
        </w:rPr>
        <w:t>W toku praktyki należy zwracać aplikantom szczególną uwagę na zagadnienia dotyczące metodyki prowadzenia postępowania w sprawach cywilnych, zarówno rozpoznawanych w procesie, jak i w postępowaniu nieprocesowym. Aplikanci powinni nabyć praktyczną umiejętność organizowania i planowania postępowania w tego rodzaju sprawach tak, aby toczyło się ono sprawnie i bez zbędnej zwłoki, jednak bez szkody dla wyjaśnienia sprawy.</w:t>
      </w:r>
    </w:p>
    <w:p w:rsidR="00B439AA" w:rsidRPr="00B439AA" w:rsidRDefault="00B439AA" w:rsidP="00B439AA">
      <w:pPr>
        <w:spacing w:line="360" w:lineRule="auto"/>
        <w:ind w:firstLine="708"/>
        <w:jc w:val="both"/>
        <w:rPr>
          <w:rFonts w:ascii="Times New Roman" w:eastAsia="Calibri" w:hAnsi="Times New Roman" w:cs="Times New Roman"/>
          <w:b/>
          <w:sz w:val="23"/>
          <w:szCs w:val="23"/>
        </w:rPr>
      </w:pPr>
      <w:r w:rsidRPr="00B439AA">
        <w:rPr>
          <w:rFonts w:ascii="Times New Roman" w:eastAsia="Calibri" w:hAnsi="Times New Roman" w:cs="Times New Roman"/>
          <w:sz w:val="23"/>
          <w:szCs w:val="23"/>
        </w:rPr>
        <w:t xml:space="preserve">Celowym jest, aby obligatoryjnie w toku praktyki powierzać aplikantom zróżnicowane zadania, dotyczące możliwie najszerszego spektrum spraw rozpoznawanych w wydziałach cywilnych sądów rejonowych. Ponieważ jednak praktyka ta ma służyć nie tylko nabyciu umiejętności praktycznych, przydatnych przy wykonywaniu czynności orzeczniczych, ale przede wszystkim odpowiedniemu przygotowaniu do egzaminu sędziowskiego, szczególny nacisk należy </w:t>
      </w:r>
      <w:r w:rsidRPr="00B439AA">
        <w:rPr>
          <w:rFonts w:ascii="Times New Roman" w:eastAsia="Calibri" w:hAnsi="Times New Roman" w:cs="Times New Roman"/>
          <w:sz w:val="23"/>
          <w:szCs w:val="23"/>
        </w:rPr>
        <w:lastRenderedPageBreak/>
        <w:t>położyć na sporządzanie projektów orzeczeń kończących postępowanie w różnego rodzaju sprawach cywilnych, wraz z pisemnym uzasadnieniem, w których:</w:t>
      </w:r>
    </w:p>
    <w:p w:rsidR="00B439AA" w:rsidRPr="00B439AA" w:rsidRDefault="00B439AA" w:rsidP="00B439AA">
      <w:pPr>
        <w:numPr>
          <w:ilvl w:val="0"/>
          <w:numId w:val="4"/>
        </w:numPr>
        <w:tabs>
          <w:tab w:val="left" w:leader="dot" w:pos="3810"/>
        </w:tabs>
        <w:spacing w:after="0" w:line="360" w:lineRule="auto"/>
        <w:jc w:val="both"/>
        <w:rPr>
          <w:rFonts w:ascii="Times New Roman" w:eastAsia="Times New Roman" w:hAnsi="Times New Roman" w:cs="Times New Roman"/>
          <w:b/>
          <w:sz w:val="23"/>
          <w:szCs w:val="23"/>
        </w:rPr>
      </w:pPr>
      <w:r w:rsidRPr="00B439AA">
        <w:rPr>
          <w:rFonts w:ascii="Times New Roman" w:eastAsia="Times New Roman" w:hAnsi="Times New Roman" w:cs="Times New Roman"/>
          <w:sz w:val="23"/>
          <w:szCs w:val="23"/>
        </w:rPr>
        <w:t>zasądzone świadczenie zostaje rozłożone na raty,</w:t>
      </w:r>
    </w:p>
    <w:p w:rsidR="00B439AA" w:rsidRPr="00B439AA" w:rsidRDefault="00B439AA" w:rsidP="00B439AA">
      <w:pPr>
        <w:numPr>
          <w:ilvl w:val="0"/>
          <w:numId w:val="4"/>
        </w:numPr>
        <w:tabs>
          <w:tab w:val="left" w:leader="dot" w:pos="3810"/>
        </w:tabs>
        <w:spacing w:after="0" w:line="360" w:lineRule="auto"/>
        <w:jc w:val="both"/>
        <w:rPr>
          <w:rFonts w:ascii="Times New Roman" w:eastAsia="Times New Roman" w:hAnsi="Times New Roman" w:cs="Times New Roman"/>
          <w:sz w:val="23"/>
          <w:szCs w:val="23"/>
        </w:rPr>
      </w:pPr>
      <w:r w:rsidRPr="00B439AA">
        <w:rPr>
          <w:rFonts w:ascii="Times New Roman" w:eastAsia="Times New Roman" w:hAnsi="Times New Roman" w:cs="Times New Roman"/>
          <w:sz w:val="23"/>
          <w:szCs w:val="23"/>
        </w:rPr>
        <w:t>innych podlegających rozpoznaniu w postępowaniu procesowym;</w:t>
      </w:r>
    </w:p>
    <w:p w:rsidR="00B439AA" w:rsidRPr="00B439AA" w:rsidRDefault="00B439AA" w:rsidP="00B439AA">
      <w:pPr>
        <w:numPr>
          <w:ilvl w:val="0"/>
          <w:numId w:val="4"/>
        </w:numPr>
        <w:tabs>
          <w:tab w:val="left" w:leader="dot" w:pos="3810"/>
        </w:tabs>
        <w:spacing w:after="0" w:line="360" w:lineRule="auto"/>
        <w:jc w:val="both"/>
        <w:rPr>
          <w:rFonts w:ascii="Times New Roman" w:eastAsia="Times New Roman" w:hAnsi="Times New Roman" w:cs="Times New Roman"/>
          <w:sz w:val="23"/>
          <w:szCs w:val="23"/>
        </w:rPr>
      </w:pPr>
      <w:r w:rsidRPr="00B439AA">
        <w:rPr>
          <w:rFonts w:ascii="Times New Roman" w:eastAsia="Times New Roman" w:hAnsi="Times New Roman" w:cs="Times New Roman"/>
          <w:sz w:val="23"/>
          <w:szCs w:val="23"/>
        </w:rPr>
        <w:t>o zniesienie współwłasności, o podział majątku wspólnego lub o dział spadku, w których zostało zgłoszone żądanie rozliczenia nakładów bądź wydatków;</w:t>
      </w:r>
    </w:p>
    <w:p w:rsidR="00B439AA" w:rsidRPr="00B439AA" w:rsidRDefault="00B439AA" w:rsidP="00B439AA">
      <w:pPr>
        <w:numPr>
          <w:ilvl w:val="0"/>
          <w:numId w:val="4"/>
        </w:numPr>
        <w:tabs>
          <w:tab w:val="left" w:leader="dot" w:pos="3810"/>
        </w:tabs>
        <w:spacing w:after="0" w:line="360" w:lineRule="auto"/>
        <w:jc w:val="both"/>
        <w:rPr>
          <w:rFonts w:ascii="Times New Roman" w:eastAsia="Times New Roman" w:hAnsi="Times New Roman" w:cs="Times New Roman"/>
          <w:sz w:val="23"/>
          <w:szCs w:val="23"/>
        </w:rPr>
      </w:pPr>
      <w:r w:rsidRPr="00B439AA">
        <w:rPr>
          <w:rFonts w:ascii="Times New Roman" w:eastAsia="Times New Roman" w:hAnsi="Times New Roman" w:cs="Times New Roman"/>
          <w:sz w:val="23"/>
          <w:szCs w:val="23"/>
        </w:rPr>
        <w:t>innych podlegających rozpoznaniu w postępowaniu nieprocesowym;</w:t>
      </w:r>
    </w:p>
    <w:p w:rsidR="00B439AA" w:rsidRPr="00B439AA" w:rsidRDefault="00B439AA" w:rsidP="00B439AA">
      <w:pPr>
        <w:numPr>
          <w:ilvl w:val="0"/>
          <w:numId w:val="4"/>
        </w:numPr>
        <w:tabs>
          <w:tab w:val="left" w:leader="dot" w:pos="3810"/>
        </w:tabs>
        <w:spacing w:after="0" w:line="360" w:lineRule="auto"/>
        <w:jc w:val="both"/>
        <w:rPr>
          <w:rFonts w:ascii="Times New Roman" w:eastAsia="Times New Roman" w:hAnsi="Times New Roman" w:cs="Times New Roman"/>
          <w:sz w:val="23"/>
          <w:szCs w:val="23"/>
        </w:rPr>
      </w:pPr>
      <w:r w:rsidRPr="00B439AA">
        <w:rPr>
          <w:rFonts w:ascii="Times New Roman" w:eastAsia="Times New Roman" w:hAnsi="Times New Roman" w:cs="Times New Roman"/>
          <w:sz w:val="23"/>
          <w:szCs w:val="23"/>
        </w:rPr>
        <w:t>sporządzanie projektów zarządzeń oraz podejmowanie innych czynności w postępowaniu odwoławczym po wpłynięciu zażalenia podlegającego rozpoznaniu na podstawie art. 394</w:t>
      </w:r>
      <w:r w:rsidRPr="00B439AA">
        <w:rPr>
          <w:rFonts w:ascii="Times New Roman" w:eastAsia="Times New Roman" w:hAnsi="Times New Roman" w:cs="Times New Roman"/>
          <w:sz w:val="23"/>
          <w:szCs w:val="23"/>
          <w:vertAlign w:val="superscript"/>
        </w:rPr>
        <w:t>1a</w:t>
      </w:r>
      <w:r w:rsidRPr="00B439AA">
        <w:rPr>
          <w:rFonts w:ascii="Times New Roman" w:eastAsia="Times New Roman" w:hAnsi="Times New Roman" w:cs="Times New Roman"/>
          <w:sz w:val="23"/>
          <w:szCs w:val="23"/>
        </w:rPr>
        <w:t xml:space="preserve"> § 1 k.p.c., </w:t>
      </w:r>
    </w:p>
    <w:p w:rsidR="00B439AA" w:rsidRPr="00B439AA" w:rsidRDefault="00B439AA" w:rsidP="00B439AA">
      <w:pPr>
        <w:tabs>
          <w:tab w:val="left" w:leader="dot" w:pos="3853"/>
        </w:tabs>
        <w:spacing w:after="0"/>
        <w:ind w:left="360"/>
        <w:jc w:val="both"/>
        <w:rPr>
          <w:rFonts w:ascii="Times New Roman" w:eastAsia="Times New Roman" w:hAnsi="Times New Roman" w:cs="Times New Roman"/>
          <w:sz w:val="23"/>
          <w:szCs w:val="23"/>
        </w:rPr>
      </w:pPr>
    </w:p>
    <w:p w:rsidR="00B439AA" w:rsidRPr="00B439AA" w:rsidRDefault="00B439AA" w:rsidP="00B439AA">
      <w:pPr>
        <w:spacing w:line="360" w:lineRule="auto"/>
        <w:ind w:firstLine="708"/>
        <w:jc w:val="both"/>
        <w:rPr>
          <w:rFonts w:ascii="Times New Roman" w:eastAsia="Calibri" w:hAnsi="Times New Roman" w:cs="Times New Roman"/>
          <w:sz w:val="23"/>
          <w:szCs w:val="23"/>
        </w:rPr>
      </w:pPr>
      <w:r w:rsidRPr="00B439AA">
        <w:rPr>
          <w:rFonts w:ascii="Times New Roman" w:eastAsia="Calibri" w:hAnsi="Times New Roman" w:cs="Times New Roman"/>
          <w:sz w:val="23"/>
          <w:szCs w:val="23"/>
        </w:rPr>
        <w:t xml:space="preserve">Ponadto uprzejmie przypominam, że zgodnie z § </w:t>
      </w:r>
      <w:r w:rsidR="002E5328">
        <w:rPr>
          <w:rFonts w:ascii="Times New Roman" w:eastAsia="Calibri" w:hAnsi="Times New Roman" w:cs="Times New Roman"/>
          <w:sz w:val="23"/>
          <w:szCs w:val="23"/>
        </w:rPr>
        <w:t>3 ust. 1</w:t>
      </w:r>
      <w:r w:rsidRPr="00B439AA">
        <w:rPr>
          <w:rFonts w:ascii="Times New Roman" w:eastAsia="Calibri" w:hAnsi="Times New Roman" w:cs="Times New Roman"/>
          <w:sz w:val="23"/>
          <w:szCs w:val="23"/>
        </w:rPr>
        <w:t xml:space="preserve"> powołanego na wstępie zarządzenia </w:t>
      </w:r>
      <w:r w:rsidR="002E5328" w:rsidRPr="005F0FD6">
        <w:rPr>
          <w:rFonts w:ascii="Times New Roman" w:hAnsi="Times New Roman"/>
        </w:rPr>
        <w:t>Dyrektora Krajowej S</w:t>
      </w:r>
      <w:r w:rsidR="002E5328">
        <w:rPr>
          <w:rFonts w:ascii="Times New Roman" w:hAnsi="Times New Roman"/>
        </w:rPr>
        <w:t xml:space="preserve">zkoły Sądownictwa i Prokuratury </w:t>
      </w:r>
      <w:r w:rsidR="002E5328" w:rsidRPr="005F0FD6">
        <w:rPr>
          <w:rFonts w:ascii="Times New Roman" w:hAnsi="Times New Roman"/>
        </w:rPr>
        <w:t xml:space="preserve">Nr 539/2021 z dnia 27 października 2021 r. </w:t>
      </w:r>
      <w:r w:rsidRPr="00B439AA">
        <w:rPr>
          <w:rFonts w:ascii="Times New Roman" w:eastAsia="Calibri" w:hAnsi="Times New Roman" w:cs="Times New Roman"/>
          <w:sz w:val="23"/>
          <w:szCs w:val="23"/>
        </w:rPr>
        <w:t xml:space="preserve">przed rozpoczęciem praktyki patron praktyki ma obowiązek omówić z aplikantem cel, szczegółowy zakres tematyczny praktyki i jej planowany przebieg oraz zapoznać aplikanta ze swoim stanowiskiem pracy i strukturą organizacyjną jednostki, w której jest zatrudniony. </w:t>
      </w:r>
    </w:p>
    <w:p w:rsidR="00B439AA" w:rsidRPr="00B439AA" w:rsidRDefault="00B439AA" w:rsidP="00B439AA">
      <w:pPr>
        <w:spacing w:line="360" w:lineRule="auto"/>
        <w:ind w:firstLine="708"/>
        <w:jc w:val="both"/>
        <w:rPr>
          <w:rFonts w:ascii="Calibri" w:eastAsia="Calibri" w:hAnsi="Calibri" w:cs="Times New Roman"/>
          <w:sz w:val="23"/>
          <w:szCs w:val="23"/>
        </w:rPr>
      </w:pPr>
    </w:p>
    <w:p w:rsidR="00B439AA" w:rsidRPr="00B439AA" w:rsidRDefault="00B439AA" w:rsidP="00B439AA">
      <w:pPr>
        <w:spacing w:after="100" w:afterAutospacing="1" w:line="360" w:lineRule="auto"/>
        <w:ind w:left="3540"/>
        <w:contextualSpacing/>
        <w:jc w:val="center"/>
        <w:rPr>
          <w:rFonts w:ascii="Times New Roman" w:eastAsia="Calibri" w:hAnsi="Times New Roman" w:cs="Times New Roman"/>
        </w:rPr>
      </w:pPr>
      <w:r w:rsidRPr="00B439AA">
        <w:rPr>
          <w:rFonts w:ascii="Times New Roman" w:eastAsia="Calibri" w:hAnsi="Times New Roman" w:cs="Times New Roman"/>
        </w:rPr>
        <w:t>Kierownik Działu Dydaktycznego OAS</w:t>
      </w:r>
    </w:p>
    <w:p w:rsidR="00B439AA" w:rsidRPr="00B439AA" w:rsidRDefault="00B439AA" w:rsidP="00B439AA">
      <w:pPr>
        <w:spacing w:after="100" w:afterAutospacing="1" w:line="360" w:lineRule="auto"/>
        <w:ind w:left="3540"/>
        <w:contextualSpacing/>
        <w:jc w:val="center"/>
        <w:rPr>
          <w:rFonts w:ascii="Times New Roman" w:eastAsia="Calibri" w:hAnsi="Times New Roman" w:cs="Times New Roman"/>
        </w:rPr>
      </w:pPr>
      <w:r w:rsidRPr="00B439AA">
        <w:rPr>
          <w:rFonts w:ascii="Times New Roman" w:eastAsia="Calibri" w:hAnsi="Times New Roman" w:cs="Times New Roman"/>
        </w:rPr>
        <w:t>dr Mariusz Kucharczyk</w:t>
      </w:r>
    </w:p>
    <w:p w:rsidR="00B439AA" w:rsidRPr="00B439AA" w:rsidRDefault="00B439AA" w:rsidP="00B439AA">
      <w:pPr>
        <w:spacing w:after="100" w:afterAutospacing="1" w:line="360" w:lineRule="auto"/>
        <w:ind w:left="3540"/>
        <w:contextualSpacing/>
        <w:jc w:val="center"/>
        <w:rPr>
          <w:rFonts w:ascii="Times New Roman" w:eastAsia="Calibri" w:hAnsi="Times New Roman" w:cs="Times New Roman"/>
        </w:rPr>
      </w:pPr>
      <w:r w:rsidRPr="00B439AA">
        <w:rPr>
          <w:rFonts w:ascii="Times New Roman" w:eastAsia="Calibri" w:hAnsi="Times New Roman" w:cs="Times New Roman"/>
        </w:rPr>
        <w:t>sędzia</w:t>
      </w:r>
    </w:p>
    <w:p w:rsidR="00B439AA" w:rsidRPr="00B439AA" w:rsidRDefault="00B439AA" w:rsidP="00B439AA">
      <w:pPr>
        <w:spacing w:line="360" w:lineRule="auto"/>
        <w:ind w:firstLine="708"/>
        <w:jc w:val="both"/>
        <w:rPr>
          <w:rFonts w:ascii="Calibri" w:eastAsia="Calibri" w:hAnsi="Calibri" w:cs="Times New Roman"/>
          <w:sz w:val="23"/>
          <w:szCs w:val="23"/>
        </w:rPr>
      </w:pPr>
    </w:p>
    <w:p w:rsidR="00417001" w:rsidRDefault="00417001"/>
    <w:sectPr w:rsidR="004170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128" w:rsidRDefault="00235128" w:rsidP="00B148CA">
      <w:pPr>
        <w:spacing w:after="0" w:line="240" w:lineRule="auto"/>
      </w:pPr>
      <w:r>
        <w:separator/>
      </w:r>
    </w:p>
  </w:endnote>
  <w:endnote w:type="continuationSeparator" w:id="0">
    <w:p w:rsidR="00235128" w:rsidRDefault="00235128" w:rsidP="00B1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128" w:rsidRDefault="00235128" w:rsidP="00B148CA">
      <w:pPr>
        <w:spacing w:after="0" w:line="240" w:lineRule="auto"/>
      </w:pPr>
      <w:r>
        <w:separator/>
      </w:r>
    </w:p>
  </w:footnote>
  <w:footnote w:type="continuationSeparator" w:id="0">
    <w:p w:rsidR="00235128" w:rsidRDefault="00235128" w:rsidP="00B14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73CBE"/>
    <w:multiLevelType w:val="hybridMultilevel"/>
    <w:tmpl w:val="E6C6BC6C"/>
    <w:lvl w:ilvl="0" w:tplc="36106E72">
      <w:start w:val="1"/>
      <w:numFmt w:val="decimal"/>
      <w:lvlText w:val="%1."/>
      <w:lvlJc w:val="left"/>
      <w:pPr>
        <w:ind w:left="360" w:hanging="360"/>
      </w:pPr>
      <w:rPr>
        <w:rFonts w:eastAsia="Calibri" w:hint="default"/>
        <w:b/>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1E5533F"/>
    <w:multiLevelType w:val="hybridMultilevel"/>
    <w:tmpl w:val="2820A900"/>
    <w:lvl w:ilvl="0" w:tplc="04150017">
      <w:start w:val="1"/>
      <w:numFmt w:val="lowerLetter"/>
      <w:lvlText w:val="%1)"/>
      <w:lvlJc w:val="left"/>
      <w:pPr>
        <w:ind w:left="440" w:hanging="360"/>
      </w:pPr>
      <w:rPr>
        <w:b/>
        <w:i w:val="0"/>
      </w:rPr>
    </w:lvl>
    <w:lvl w:ilvl="1" w:tplc="04150019">
      <w:start w:val="1"/>
      <w:numFmt w:val="lowerLetter"/>
      <w:lvlText w:val="%2."/>
      <w:lvlJc w:val="left"/>
      <w:pPr>
        <w:ind w:left="1160" w:hanging="360"/>
      </w:pPr>
    </w:lvl>
    <w:lvl w:ilvl="2" w:tplc="0415001B">
      <w:start w:val="1"/>
      <w:numFmt w:val="lowerRoman"/>
      <w:lvlText w:val="%3."/>
      <w:lvlJc w:val="right"/>
      <w:pPr>
        <w:ind w:left="1880" w:hanging="180"/>
      </w:pPr>
    </w:lvl>
    <w:lvl w:ilvl="3" w:tplc="0415000F">
      <w:start w:val="1"/>
      <w:numFmt w:val="decimal"/>
      <w:lvlText w:val="%4."/>
      <w:lvlJc w:val="left"/>
      <w:pPr>
        <w:ind w:left="2600" w:hanging="360"/>
      </w:pPr>
    </w:lvl>
    <w:lvl w:ilvl="4" w:tplc="04150019">
      <w:start w:val="1"/>
      <w:numFmt w:val="lowerLetter"/>
      <w:lvlText w:val="%5."/>
      <w:lvlJc w:val="left"/>
      <w:pPr>
        <w:ind w:left="3320" w:hanging="360"/>
      </w:pPr>
    </w:lvl>
    <w:lvl w:ilvl="5" w:tplc="0415001B">
      <w:start w:val="1"/>
      <w:numFmt w:val="lowerRoman"/>
      <w:lvlText w:val="%6."/>
      <w:lvlJc w:val="right"/>
      <w:pPr>
        <w:ind w:left="4040" w:hanging="180"/>
      </w:pPr>
    </w:lvl>
    <w:lvl w:ilvl="6" w:tplc="0415000F">
      <w:start w:val="1"/>
      <w:numFmt w:val="decimal"/>
      <w:lvlText w:val="%7."/>
      <w:lvlJc w:val="left"/>
      <w:pPr>
        <w:ind w:left="4760" w:hanging="360"/>
      </w:pPr>
    </w:lvl>
    <w:lvl w:ilvl="7" w:tplc="04150019">
      <w:start w:val="1"/>
      <w:numFmt w:val="lowerLetter"/>
      <w:lvlText w:val="%8."/>
      <w:lvlJc w:val="left"/>
      <w:pPr>
        <w:ind w:left="5480" w:hanging="360"/>
      </w:pPr>
    </w:lvl>
    <w:lvl w:ilvl="8" w:tplc="0415001B">
      <w:start w:val="1"/>
      <w:numFmt w:val="lowerRoman"/>
      <w:lvlText w:val="%9."/>
      <w:lvlJc w:val="right"/>
      <w:pPr>
        <w:ind w:left="6200" w:hanging="180"/>
      </w:pPr>
    </w:lvl>
  </w:abstractNum>
  <w:abstractNum w:abstractNumId="2" w15:restartNumberingAfterBreak="0">
    <w:nsid w:val="47793590"/>
    <w:multiLevelType w:val="hybridMultilevel"/>
    <w:tmpl w:val="E8185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AD44C78"/>
    <w:multiLevelType w:val="hybridMultilevel"/>
    <w:tmpl w:val="110E9A36"/>
    <w:lvl w:ilvl="0" w:tplc="A174782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44"/>
    <w:rsid w:val="00235128"/>
    <w:rsid w:val="002E5328"/>
    <w:rsid w:val="00417001"/>
    <w:rsid w:val="0045725C"/>
    <w:rsid w:val="00B148CA"/>
    <w:rsid w:val="00B439AA"/>
    <w:rsid w:val="00B93F44"/>
    <w:rsid w:val="00E92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48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48CA"/>
  </w:style>
  <w:style w:type="paragraph" w:styleId="Stopka">
    <w:name w:val="footer"/>
    <w:basedOn w:val="Normalny"/>
    <w:link w:val="StopkaZnak"/>
    <w:uiPriority w:val="99"/>
    <w:unhideWhenUsed/>
    <w:rsid w:val="00B148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4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6894</Characters>
  <Application>Microsoft Office Word</Application>
  <DocSecurity>0</DocSecurity>
  <Lines>57</Lines>
  <Paragraphs>16</Paragraphs>
  <ScaleCrop>false</ScaleCrop>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2021-12-09T08:57:00Z</dcterms:created>
  <dcterms:modified xsi:type="dcterms:W3CDTF">2021-12-09T08:57:00Z</dcterms:modified>
</cp:coreProperties>
</file>