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30" w:rsidRPr="00EB5DA5" w:rsidRDefault="00591130" w:rsidP="00591130">
      <w:pPr>
        <w:spacing w:after="120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F66E47" w:rsidRPr="00EB5DA5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B5DA5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="00F66E47" w:rsidRPr="00EB5DA5">
        <w:rPr>
          <w:rFonts w:ascii="Times New Roman" w:eastAsia="Times New Roman" w:hAnsi="Times New Roman" w:cs="Times New Roman"/>
          <w:lang w:eastAsia="pl-PL"/>
        </w:rPr>
        <w:t xml:space="preserve">  Kraków, dnia </w:t>
      </w:r>
      <w:r w:rsidR="00EB5DA5">
        <w:rPr>
          <w:rFonts w:ascii="Times New Roman" w:eastAsia="Times New Roman" w:hAnsi="Times New Roman" w:cs="Times New Roman"/>
          <w:lang w:eastAsia="pl-PL"/>
        </w:rPr>
        <w:t>28 marca 2023</w:t>
      </w:r>
      <w:r w:rsidRPr="00EB5DA5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91130" w:rsidRPr="00EB5DA5" w:rsidRDefault="00F66E47" w:rsidP="00591130">
      <w:pPr>
        <w:spacing w:after="120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OAP-II.420.</w:t>
      </w:r>
      <w:r w:rsidR="005D2190" w:rsidRPr="00EB5DA5">
        <w:rPr>
          <w:rFonts w:ascii="Times New Roman" w:eastAsia="Times New Roman" w:hAnsi="Times New Roman" w:cs="Times New Roman"/>
          <w:lang w:eastAsia="pl-PL"/>
        </w:rPr>
        <w:t>12.8</w:t>
      </w:r>
      <w:r w:rsidRPr="00EB5DA5">
        <w:rPr>
          <w:rFonts w:ascii="Times New Roman" w:eastAsia="Times New Roman" w:hAnsi="Times New Roman" w:cs="Times New Roman"/>
          <w:lang w:eastAsia="pl-PL"/>
        </w:rPr>
        <w:t>.2022</w:t>
      </w:r>
    </w:p>
    <w:p w:rsidR="00591130" w:rsidRPr="00EB5DA5" w:rsidRDefault="00591130" w:rsidP="00591130">
      <w:pPr>
        <w:spacing w:after="120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</w:p>
    <w:p w:rsidR="00591130" w:rsidRPr="00EB5DA5" w:rsidRDefault="00591130" w:rsidP="00591130">
      <w:pPr>
        <w:spacing w:after="120"/>
        <w:rPr>
          <w:rFonts w:ascii="Times New Roman" w:eastAsia="Times New Roman" w:hAnsi="Times New Roman" w:cs="Times New Roman"/>
          <w:b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</w:t>
      </w:r>
      <w:r w:rsidRPr="00EB5DA5">
        <w:rPr>
          <w:rFonts w:ascii="Times New Roman" w:eastAsia="Times New Roman" w:hAnsi="Times New Roman" w:cs="Times New Roman"/>
          <w:b/>
          <w:lang w:eastAsia="pl-PL"/>
        </w:rPr>
        <w:t>Patroni Koordynatorzy</w:t>
      </w:r>
    </w:p>
    <w:p w:rsidR="00591130" w:rsidRPr="00EB5DA5" w:rsidRDefault="00591130" w:rsidP="00591130">
      <w:pPr>
        <w:spacing w:after="120"/>
        <w:rPr>
          <w:rFonts w:ascii="Times New Roman" w:eastAsia="Times New Roman" w:hAnsi="Times New Roman" w:cs="Times New Roman"/>
          <w:b/>
          <w:lang w:eastAsia="pl-PL"/>
        </w:rPr>
      </w:pPr>
      <w:r w:rsidRPr="00EB5DA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oraz Patroni Praktyk</w:t>
      </w:r>
    </w:p>
    <w:p w:rsidR="00591130" w:rsidRPr="00EB5DA5" w:rsidRDefault="00591130" w:rsidP="00591130">
      <w:pPr>
        <w:spacing w:after="120"/>
        <w:rPr>
          <w:rFonts w:ascii="Times New Roman" w:eastAsia="Times New Roman" w:hAnsi="Times New Roman" w:cs="Times New Roman"/>
          <w:b/>
          <w:lang w:eastAsia="pl-PL"/>
        </w:rPr>
      </w:pPr>
      <w:r w:rsidRPr="00EB5DA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aplikantów aplikacji prokuratorskiej</w:t>
      </w:r>
    </w:p>
    <w:p w:rsidR="00591130" w:rsidRPr="00EB5DA5" w:rsidRDefault="00591130" w:rsidP="00591130">
      <w:pPr>
        <w:spacing w:after="120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</w:p>
    <w:p w:rsidR="00591130" w:rsidRPr="00EB5DA5" w:rsidRDefault="00591130" w:rsidP="00591130">
      <w:pPr>
        <w:spacing w:after="120"/>
        <w:rPr>
          <w:rFonts w:ascii="Times New Roman" w:eastAsia="Times New Roman" w:hAnsi="Times New Roman" w:cs="Times New Roman"/>
          <w:b/>
          <w:i/>
          <w:lang w:eastAsia="pl-PL"/>
        </w:rPr>
      </w:pPr>
      <w:r w:rsidRPr="00EB5DA5">
        <w:rPr>
          <w:rFonts w:ascii="Times New Roman" w:eastAsia="Times New Roman" w:hAnsi="Times New Roman" w:cs="Times New Roman"/>
          <w:b/>
          <w:i/>
          <w:lang w:eastAsia="pl-PL"/>
        </w:rPr>
        <w:t>Dotyczy:  praktyk aplikant</w:t>
      </w:r>
      <w:r w:rsidR="00F66E47" w:rsidRPr="00EB5DA5">
        <w:rPr>
          <w:rFonts w:ascii="Times New Roman" w:eastAsia="Times New Roman" w:hAnsi="Times New Roman" w:cs="Times New Roman"/>
          <w:b/>
          <w:i/>
          <w:lang w:eastAsia="pl-PL"/>
        </w:rPr>
        <w:t>ów aplikacji prokuratorskiej XI</w:t>
      </w:r>
      <w:r w:rsidR="005D2190" w:rsidRPr="00EB5DA5">
        <w:rPr>
          <w:rFonts w:ascii="Times New Roman" w:eastAsia="Times New Roman" w:hAnsi="Times New Roman" w:cs="Times New Roman"/>
          <w:b/>
          <w:i/>
          <w:lang w:eastAsia="pl-PL"/>
        </w:rPr>
        <w:t>V</w:t>
      </w:r>
      <w:r w:rsidR="00F66E47" w:rsidRPr="00EB5DA5">
        <w:rPr>
          <w:rFonts w:ascii="Times New Roman" w:eastAsia="Times New Roman" w:hAnsi="Times New Roman" w:cs="Times New Roman"/>
          <w:b/>
          <w:i/>
          <w:lang w:eastAsia="pl-PL"/>
        </w:rPr>
        <w:t xml:space="preserve"> rocznika po 8</w:t>
      </w:r>
      <w:r w:rsidR="005D2190" w:rsidRPr="00EB5DA5">
        <w:rPr>
          <w:rFonts w:ascii="Times New Roman" w:eastAsia="Times New Roman" w:hAnsi="Times New Roman" w:cs="Times New Roman"/>
          <w:b/>
          <w:i/>
          <w:lang w:eastAsia="pl-PL"/>
        </w:rPr>
        <w:t>.</w:t>
      </w:r>
      <w:r w:rsidR="00F66E47" w:rsidRPr="00EB5DA5">
        <w:rPr>
          <w:rFonts w:ascii="Times New Roman" w:eastAsia="Times New Roman" w:hAnsi="Times New Roman" w:cs="Times New Roman"/>
          <w:b/>
          <w:i/>
          <w:lang w:eastAsia="pl-PL"/>
        </w:rPr>
        <w:t xml:space="preserve"> z</w:t>
      </w:r>
      <w:r w:rsidRPr="00EB5DA5">
        <w:rPr>
          <w:rFonts w:ascii="Times New Roman" w:eastAsia="Times New Roman" w:hAnsi="Times New Roman" w:cs="Times New Roman"/>
          <w:b/>
          <w:i/>
          <w:lang w:eastAsia="pl-PL"/>
        </w:rPr>
        <w:t>jeździe</w:t>
      </w:r>
    </w:p>
    <w:p w:rsidR="002463BF" w:rsidRPr="00EB5DA5" w:rsidRDefault="00C26662" w:rsidP="00EB5DA5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W oparciu o § 1 ust. 2 zarządzenia Dyrektora Krajowej Szkoły Sądownictwa i Prokuratury w Krakowie Nr 539/2021 z dnia 27 października 2021 roku w sprawie szczegółowych zasad odbywania praktyk przez aplikantów aplikacji sędziowskiej i aplikacji prokuratorskiej</w:t>
      </w:r>
      <w:r w:rsidR="00591130" w:rsidRPr="00EB5DA5">
        <w:rPr>
          <w:rFonts w:ascii="Times New Roman" w:eastAsia="Times New Roman" w:hAnsi="Times New Roman" w:cs="Times New Roman"/>
          <w:lang w:eastAsia="pl-PL"/>
        </w:rPr>
        <w:t>, uprzejmie przedstawiam szczegółowy zakres tematyczny, który powinien być przedmiotem praktyk aplikantów aplikacji prokurato</w:t>
      </w:r>
      <w:r w:rsidR="00F66E47" w:rsidRPr="00EB5DA5">
        <w:rPr>
          <w:rFonts w:ascii="Times New Roman" w:eastAsia="Times New Roman" w:hAnsi="Times New Roman" w:cs="Times New Roman"/>
          <w:lang w:eastAsia="pl-PL"/>
        </w:rPr>
        <w:t xml:space="preserve">rskiej odbywanych </w:t>
      </w:r>
      <w:r w:rsidR="00F66E47" w:rsidRPr="00EB5DA5">
        <w:rPr>
          <w:rFonts w:ascii="Times New Roman" w:eastAsia="Times New Roman" w:hAnsi="Times New Roman" w:cs="Times New Roman"/>
          <w:b/>
          <w:lang w:eastAsia="pl-PL"/>
        </w:rPr>
        <w:t>w dniach od 1</w:t>
      </w:r>
      <w:r w:rsidR="005D2190" w:rsidRPr="00EB5DA5">
        <w:rPr>
          <w:rFonts w:ascii="Times New Roman" w:eastAsia="Times New Roman" w:hAnsi="Times New Roman" w:cs="Times New Roman"/>
          <w:b/>
          <w:lang w:eastAsia="pl-PL"/>
        </w:rPr>
        <w:t>1 do 15</w:t>
      </w:r>
      <w:r w:rsidR="00F66E47" w:rsidRPr="00EB5DA5">
        <w:rPr>
          <w:rFonts w:ascii="Times New Roman" w:eastAsia="Times New Roman" w:hAnsi="Times New Roman" w:cs="Times New Roman"/>
          <w:b/>
          <w:lang w:eastAsia="pl-PL"/>
        </w:rPr>
        <w:t xml:space="preserve"> września 202</w:t>
      </w:r>
      <w:r w:rsidR="005D2190" w:rsidRPr="00EB5DA5">
        <w:rPr>
          <w:rFonts w:ascii="Times New Roman" w:eastAsia="Times New Roman" w:hAnsi="Times New Roman" w:cs="Times New Roman"/>
          <w:b/>
          <w:lang w:eastAsia="pl-PL"/>
        </w:rPr>
        <w:t>3</w:t>
      </w:r>
      <w:r w:rsidR="00591130" w:rsidRPr="00EB5DA5">
        <w:rPr>
          <w:rFonts w:ascii="Times New Roman" w:eastAsia="Times New Roman" w:hAnsi="Times New Roman" w:cs="Times New Roman"/>
          <w:b/>
          <w:lang w:eastAsia="pl-PL"/>
        </w:rPr>
        <w:t xml:space="preserve"> roku w prokuraturach rejonowych</w:t>
      </w:r>
      <w:r w:rsidR="005D2190" w:rsidRPr="00EB5DA5">
        <w:rPr>
          <w:rFonts w:ascii="Times New Roman" w:eastAsia="Times New Roman" w:hAnsi="Times New Roman" w:cs="Times New Roman"/>
          <w:b/>
          <w:lang w:eastAsia="pl-PL"/>
        </w:rPr>
        <w:t xml:space="preserve"> (1 tydzień) i od 18 do 29 września 2023 r. w jednostkach policji szczebla powiatowego lub miejskiego (2 tygodnie)</w:t>
      </w:r>
      <w:r w:rsidR="00591130" w:rsidRPr="00EB5DA5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4D36D2" w:rsidRPr="00EB5DA5" w:rsidRDefault="00915FBE" w:rsidP="00EB5DA5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Celem praktyk jest w szczególności utrwalanie umiejętności sporządzania postanowień wydawanych w toku postępowania – o zatrzymaniu rzeczy lub danych, o przeszukaniu, w przedmiocie dowodów rzeczowych.</w:t>
      </w:r>
    </w:p>
    <w:p w:rsidR="005D2190" w:rsidRPr="00EB5DA5" w:rsidRDefault="005D2190" w:rsidP="005D2190">
      <w:pPr>
        <w:spacing w:before="120" w:after="120"/>
        <w:jc w:val="both"/>
        <w:rPr>
          <w:rFonts w:ascii="Times New Roman" w:hAnsi="Times New Roman" w:cs="Times New Roman"/>
          <w:i/>
        </w:rPr>
      </w:pPr>
      <w:r w:rsidRPr="00EB5DA5">
        <w:rPr>
          <w:rFonts w:ascii="Times New Roman" w:eastAsia="Times New Roman" w:hAnsi="Times New Roman" w:cs="Times New Roman"/>
          <w:b/>
          <w:lang w:eastAsia="pl-PL"/>
        </w:rPr>
        <w:t>Patroni praktyk winni zadbać, aby aplikanci sporządzili projekty co najmniej:</w:t>
      </w:r>
    </w:p>
    <w:p w:rsidR="00591130" w:rsidRPr="00EB5DA5" w:rsidRDefault="000742E9" w:rsidP="008F178D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="006C7A2B" w:rsidRPr="00EB5DA5">
        <w:rPr>
          <w:rFonts w:ascii="Times New Roman" w:eastAsia="Times New Roman" w:hAnsi="Times New Roman" w:cs="Times New Roman"/>
          <w:lang w:eastAsia="pl-PL"/>
        </w:rPr>
        <w:t xml:space="preserve"> postanowień (o żądaniu wydania rzeczy, o zatrzymaniu rzeczy lub danych, o przeszukaniu, postanowień w przedmiocie dowodów rzeczowych); </w:t>
      </w:r>
    </w:p>
    <w:p w:rsidR="00312267" w:rsidRPr="00EB5DA5" w:rsidRDefault="006C7A2B" w:rsidP="006C7A2B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5 postanowień</w:t>
      </w:r>
      <w:r w:rsidRPr="00EB5D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5DA5">
        <w:rPr>
          <w:rFonts w:ascii="Times New Roman" w:eastAsia="Times New Roman" w:hAnsi="Times New Roman" w:cs="Times New Roman"/>
          <w:lang w:eastAsia="pl-PL"/>
        </w:rPr>
        <w:t xml:space="preserve">o dopuszczeniu dowodu z opinii biegłych różnych specjalności;       </w:t>
      </w:r>
    </w:p>
    <w:p w:rsidR="006C7A2B" w:rsidRPr="00EB5DA5" w:rsidRDefault="00312267" w:rsidP="00312267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2 postanowie</w:t>
      </w:r>
      <w:r w:rsidR="002463BF" w:rsidRPr="00EB5DA5">
        <w:rPr>
          <w:rFonts w:ascii="Times New Roman" w:eastAsia="Times New Roman" w:hAnsi="Times New Roman" w:cs="Times New Roman"/>
          <w:lang w:eastAsia="pl-PL"/>
        </w:rPr>
        <w:t>nia</w:t>
      </w:r>
      <w:r w:rsidRPr="00EB5DA5">
        <w:rPr>
          <w:rFonts w:ascii="Times New Roman" w:eastAsia="Times New Roman" w:hAnsi="Times New Roman" w:cs="Times New Roman"/>
          <w:lang w:eastAsia="pl-PL"/>
        </w:rPr>
        <w:t xml:space="preserve"> w przedmiocie przyznania należności za wydanie opinii (w tym ewentualnie decyzji przyznających wynagrodzenie niższe, niż żądał biegły).</w:t>
      </w:r>
    </w:p>
    <w:p w:rsidR="006C7A2B" w:rsidRPr="00EB5DA5" w:rsidRDefault="006C7A2B" w:rsidP="006C7A2B">
      <w:pPr>
        <w:pStyle w:val="Akapitzlist"/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oraz:</w:t>
      </w:r>
    </w:p>
    <w:p w:rsidR="006C7A2B" w:rsidRPr="00EB5DA5" w:rsidRDefault="006C7A2B" w:rsidP="00915FBE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brali udziału w co najmniej 3 oględzinach (miejsca, osoby lub rzeczy) i sporządzaniu protokołów dokumentujących te czynności;        </w:t>
      </w:r>
    </w:p>
    <w:p w:rsidR="00EB5DA5" w:rsidRPr="00EB5DA5" w:rsidRDefault="00EB5DA5" w:rsidP="00EB5DA5">
      <w:pPr>
        <w:spacing w:after="120"/>
        <w:ind w:left="360"/>
        <w:jc w:val="both"/>
        <w:rPr>
          <w:rFonts w:ascii="Times New Roman" w:hAnsi="Times New Roman" w:cs="Times New Roman"/>
        </w:rPr>
      </w:pPr>
      <w:r w:rsidRPr="00EB5DA5">
        <w:rPr>
          <w:rFonts w:ascii="Times New Roman" w:hAnsi="Times New Roman" w:cs="Times New Roman"/>
          <w:b/>
        </w:rPr>
        <w:t>Praktyka powinna przygotować do sprawdzianu.</w:t>
      </w:r>
    </w:p>
    <w:p w:rsidR="006C7A2B" w:rsidRPr="00EB5DA5" w:rsidRDefault="00EB5DA5" w:rsidP="00EB5DA5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Przedmiotem sprawdzianu, który aplikanci będą pisać bezpośrednio po odbyciu praktyki będzie opracowanie projektu postanowienia wydawanego w oparciu o przepisy Rozdziału XXV k.p.k., a w szczególności: o zatwierdzeniu zatrzymaniu rzeczy, żądaniu wydania rzeczy, o przeszukaniu, zatrzymaniu i kontroli korespondencji bądź odpowiednich postanowień odnoszących się do danych informatycznych przechowywanych na urządzeniu, w systemie informatycznym albo na nośniku. </w:t>
      </w:r>
      <w:bookmarkStart w:id="0" w:name="_GoBack"/>
      <w:bookmarkEnd w:id="0"/>
    </w:p>
    <w:p w:rsidR="00591130" w:rsidRPr="00EB5DA5" w:rsidRDefault="00591130" w:rsidP="00591130">
      <w:pPr>
        <w:spacing w:after="1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B5DA5">
        <w:rPr>
          <w:rFonts w:ascii="Times New Roman" w:eastAsia="Times New Roman" w:hAnsi="Times New Roman" w:cs="Times New Roman"/>
          <w:b/>
          <w:lang w:eastAsia="pl-PL"/>
        </w:rPr>
        <w:t xml:space="preserve">Kierownik </w:t>
      </w:r>
    </w:p>
    <w:p w:rsidR="00591130" w:rsidRPr="00EB5DA5" w:rsidRDefault="00591130" w:rsidP="004D36D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B5DA5">
        <w:rPr>
          <w:rFonts w:ascii="Times New Roman" w:eastAsia="Times New Roman" w:hAnsi="Times New Roman" w:cs="Times New Roman"/>
          <w:b/>
          <w:lang w:eastAsia="pl-PL"/>
        </w:rPr>
        <w:t>Działu Dydaktycznego</w:t>
      </w:r>
      <w:r w:rsidR="005D2190" w:rsidRPr="00EB5DA5">
        <w:rPr>
          <w:rFonts w:ascii="Times New Roman" w:eastAsia="Times New Roman" w:hAnsi="Times New Roman" w:cs="Times New Roman"/>
          <w:b/>
          <w:lang w:eastAsia="pl-PL"/>
        </w:rPr>
        <w:t xml:space="preserve"> OAP</w:t>
      </w:r>
    </w:p>
    <w:p w:rsidR="00591130" w:rsidRPr="00EB5DA5" w:rsidRDefault="005D2190" w:rsidP="004D36D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B5DA5">
        <w:rPr>
          <w:rFonts w:ascii="Times New Roman" w:eastAsia="Times New Roman" w:hAnsi="Times New Roman" w:cs="Times New Roman"/>
          <w:b/>
          <w:lang w:eastAsia="pl-PL"/>
        </w:rPr>
        <w:t>Krajowej Szkoły Sądownictwa i Prokuratury</w:t>
      </w:r>
    </w:p>
    <w:p w:rsidR="00591130" w:rsidRPr="00EB5DA5" w:rsidRDefault="00591130" w:rsidP="00591130">
      <w:pPr>
        <w:spacing w:after="1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B5DA5">
        <w:rPr>
          <w:rFonts w:ascii="Times New Roman" w:eastAsia="Times New Roman" w:hAnsi="Times New Roman" w:cs="Times New Roman"/>
          <w:b/>
          <w:lang w:eastAsia="pl-PL"/>
        </w:rPr>
        <w:t>Marta Zin</w:t>
      </w:r>
    </w:p>
    <w:p w:rsidR="006C7A2B" w:rsidRPr="00EB5DA5" w:rsidRDefault="004D36D2" w:rsidP="00915FBE">
      <w:pPr>
        <w:spacing w:after="1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B5DA5">
        <w:rPr>
          <w:rFonts w:ascii="Times New Roman" w:eastAsia="Times New Roman" w:hAnsi="Times New Roman" w:cs="Times New Roman"/>
          <w:b/>
          <w:lang w:eastAsia="pl-PL"/>
        </w:rPr>
        <w:t>P</w:t>
      </w:r>
      <w:r w:rsidR="00591130" w:rsidRPr="00EB5DA5">
        <w:rPr>
          <w:rFonts w:ascii="Times New Roman" w:eastAsia="Times New Roman" w:hAnsi="Times New Roman" w:cs="Times New Roman"/>
          <w:b/>
          <w:lang w:eastAsia="pl-PL"/>
        </w:rPr>
        <w:t>rokurator</w:t>
      </w:r>
    </w:p>
    <w:p w:rsidR="004D36D2" w:rsidRPr="00EB5DA5" w:rsidRDefault="004D36D2" w:rsidP="00915FBE">
      <w:pPr>
        <w:spacing w:after="12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D2190" w:rsidRPr="00EB5DA5" w:rsidRDefault="005D2190" w:rsidP="00C568A4">
      <w:pPr>
        <w:rPr>
          <w:rFonts w:ascii="Times New Roman" w:hAnsi="Times New Roman" w:cs="Times New Roman"/>
          <w:b/>
        </w:rPr>
      </w:pPr>
      <w:r w:rsidRPr="00EB5DA5">
        <w:rPr>
          <w:rFonts w:ascii="Times New Roman" w:hAnsi="Times New Roman" w:cs="Times New Roman"/>
          <w:b/>
        </w:rPr>
        <w:t>Załącznik do zaleceń do praktyk po 8. zjeździe XIV rocznika aplikacji prokuratorskiej</w:t>
      </w:r>
    </w:p>
    <w:p w:rsidR="005D2190" w:rsidRPr="00EB5DA5" w:rsidRDefault="005D2190" w:rsidP="00C568A4">
      <w:pPr>
        <w:rPr>
          <w:rFonts w:ascii="Times New Roman" w:hAnsi="Times New Roman" w:cs="Times New Roman"/>
          <w:b/>
        </w:rPr>
      </w:pPr>
    </w:p>
    <w:p w:rsidR="00915FBE" w:rsidRPr="00EB5DA5" w:rsidRDefault="00915FBE" w:rsidP="00915FBE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Celem praktyk jest poznanie struktury organizacyjnej jednostek powiatowych lub miejskich Policji, procedur ich postępowania, zaznajomienie się z metodami zabezpieczania materiału dowodowego do badań kryminalistycznych oraz udział w czynnościach podejmowanych w poszczególnych komórkach organizacyjnych (w tym w czynnościach dochodzenia w niezbędnym zakresie) a także</w:t>
      </w:r>
      <w:r w:rsidR="005D2190" w:rsidRPr="00EB5DA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5DA5">
        <w:rPr>
          <w:rFonts w:ascii="Times New Roman" w:eastAsia="Times New Roman" w:hAnsi="Times New Roman" w:cs="Times New Roman"/>
          <w:lang w:eastAsia="pl-PL"/>
        </w:rPr>
        <w:t>utrwalanie umiejętności sporządzania postanowień wydawanych w toku postępowania – o zatrzymaniu rzeczy lub danych, o przeszukaniu, w przedmiocie dowodów rzeczowych.</w:t>
      </w:r>
    </w:p>
    <w:p w:rsidR="005D2190" w:rsidRPr="00EB5DA5" w:rsidRDefault="00915FBE" w:rsidP="005D2190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Ponadto celem praktyk jest </w:t>
      </w:r>
      <w:r w:rsidR="005D2190" w:rsidRPr="00EB5DA5">
        <w:rPr>
          <w:rFonts w:ascii="Times New Roman" w:eastAsia="Times New Roman" w:hAnsi="Times New Roman" w:cs="Times New Roman"/>
          <w:lang w:eastAsia="pl-PL"/>
        </w:rPr>
        <w:t>zaznajomienie aplikantów z czynnościami i metodyką pracy patronów praktyk oraz doskonalenie umiejętności wykorzystania wiedzy teoretycznej i znajomości orzecznictwa. Każdorazowo praktyka winna utrwalić wiedzę zdobytą podczas bezpośrednio poprzedzających ją zajęć  w ramach zjazdu.</w:t>
      </w:r>
    </w:p>
    <w:p w:rsidR="005D2190" w:rsidRPr="00EB5DA5" w:rsidRDefault="005D2190" w:rsidP="005D2190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Przedmiotem 8</w:t>
      </w:r>
      <w:r w:rsidR="006C7A2B" w:rsidRPr="00EB5DA5">
        <w:rPr>
          <w:rFonts w:ascii="Times New Roman" w:eastAsia="Times New Roman" w:hAnsi="Times New Roman" w:cs="Times New Roman"/>
          <w:lang w:eastAsia="pl-PL"/>
        </w:rPr>
        <w:t>.</w:t>
      </w:r>
      <w:r w:rsidRPr="00EB5DA5">
        <w:rPr>
          <w:rFonts w:ascii="Times New Roman" w:eastAsia="Times New Roman" w:hAnsi="Times New Roman" w:cs="Times New Roman"/>
          <w:lang w:eastAsia="pl-PL"/>
        </w:rPr>
        <w:t xml:space="preserve"> zjazdu aplikacji prokuratorskiej, który odbędzie się w dniach od </w:t>
      </w:r>
      <w:r w:rsidR="006C7A2B" w:rsidRPr="00EB5DA5">
        <w:rPr>
          <w:rFonts w:ascii="Times New Roman" w:eastAsia="Times New Roman" w:hAnsi="Times New Roman" w:cs="Times New Roman"/>
          <w:lang w:eastAsia="pl-PL"/>
        </w:rPr>
        <w:t>4</w:t>
      </w:r>
      <w:r w:rsidRPr="00EB5DA5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6C7A2B" w:rsidRPr="00EB5DA5">
        <w:rPr>
          <w:rFonts w:ascii="Times New Roman" w:eastAsia="Times New Roman" w:hAnsi="Times New Roman" w:cs="Times New Roman"/>
          <w:lang w:eastAsia="pl-PL"/>
        </w:rPr>
        <w:t>8</w:t>
      </w:r>
      <w:r w:rsidRPr="00EB5DA5">
        <w:rPr>
          <w:rFonts w:ascii="Times New Roman" w:eastAsia="Times New Roman" w:hAnsi="Times New Roman" w:cs="Times New Roman"/>
          <w:lang w:eastAsia="pl-PL"/>
        </w:rPr>
        <w:t xml:space="preserve"> września 202</w:t>
      </w:r>
      <w:r w:rsidR="006C7A2B" w:rsidRPr="00EB5DA5">
        <w:rPr>
          <w:rFonts w:ascii="Times New Roman" w:eastAsia="Times New Roman" w:hAnsi="Times New Roman" w:cs="Times New Roman"/>
          <w:lang w:eastAsia="pl-PL"/>
        </w:rPr>
        <w:t>3</w:t>
      </w:r>
      <w:r w:rsidRPr="00EB5DA5">
        <w:rPr>
          <w:rFonts w:ascii="Times New Roman" w:eastAsia="Times New Roman" w:hAnsi="Times New Roman" w:cs="Times New Roman"/>
          <w:lang w:eastAsia="pl-PL"/>
        </w:rPr>
        <w:t xml:space="preserve"> roku będzie:</w:t>
      </w:r>
    </w:p>
    <w:p w:rsidR="005D2190" w:rsidRPr="00EB5DA5" w:rsidRDefault="005D2190" w:rsidP="005D2190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1. Prawo karne materialne - środki zabezpieczające; środki probacyjne: warunkowe umorzenie postępowania, warunkowe zawieszenie wykonania kary. </w:t>
      </w:r>
    </w:p>
    <w:p w:rsidR="005D2190" w:rsidRPr="00EB5DA5" w:rsidRDefault="005D2190" w:rsidP="005D2190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2. Kryminalistyka – kryminalistyczne i </w:t>
      </w:r>
      <w:proofErr w:type="spellStart"/>
      <w:r w:rsidRPr="00EB5DA5">
        <w:rPr>
          <w:rFonts w:ascii="Times New Roman" w:eastAsia="Times New Roman" w:hAnsi="Times New Roman" w:cs="Times New Roman"/>
          <w:lang w:eastAsia="pl-PL"/>
        </w:rPr>
        <w:t>medyczno</w:t>
      </w:r>
      <w:proofErr w:type="spellEnd"/>
      <w:r w:rsidRPr="00EB5DA5">
        <w:rPr>
          <w:rFonts w:ascii="Times New Roman" w:eastAsia="Times New Roman" w:hAnsi="Times New Roman" w:cs="Times New Roman"/>
          <w:lang w:eastAsia="pl-PL"/>
        </w:rPr>
        <w:t xml:space="preserve"> – sądowe aspekty przestępstw z użyciem broni palnej (identyfikacja broni palnej, oględziny miejsca zdarzenia i rekonstrukcja zdarzenia, sekcja zwłok i badanie osób żywych); powoływanie biegłych z różnych specjalności ( z wyjątkiem biegłych psychiatrów i seksuologa), kryminalistyczne badanie dokumentów; oględziny miejsca i rzeczy; przeszukanie, zatrzymanie rzeczy i danych, dowody rzeczowe.</w:t>
      </w:r>
    </w:p>
    <w:p w:rsidR="005D2190" w:rsidRPr="00EB5DA5" w:rsidRDefault="005D2190" w:rsidP="005D2190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Patroni praktyk powinni zadbać, aby aplikanci w czasie praktyk mieli możliwość zapoznania się z praktyczną stroną pracy prokuratora w zakresie objętym tematyką zjazdu.</w:t>
      </w:r>
    </w:p>
    <w:p w:rsidR="005D2190" w:rsidRPr="00EB5DA5" w:rsidRDefault="005D2190" w:rsidP="005D2190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Podczas praktyk aplikanci powinni mieć możliwość w szczególności: </w:t>
      </w:r>
    </w:p>
    <w:p w:rsidR="006C7A2B" w:rsidRPr="00EB5DA5" w:rsidRDefault="006C7A2B" w:rsidP="006C7A2B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zapoznania się z treścią postanowień o żądaniu wydania rzeczy, o zatrzymaniu rzeczy lub danych, o przeszukaniu, postanowień i wniosków w przedmiocie dowodów rzeczowych, a także opracowywania projektów takich postanowień czy wniosków; </w:t>
      </w:r>
    </w:p>
    <w:p w:rsidR="005D2190" w:rsidRPr="00EB5DA5" w:rsidRDefault="005D2190" w:rsidP="005D2190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analizy zebranego w toku postępowania przygotowawczego materiału dowodowego pod kątem oceny istnienia przesłanek do zastosowania środków zabezpieczających, środków probacyjnych: warunkowego umorzenia postępowania lub warunkowego zawieszenia wykonania kary;</w:t>
      </w:r>
    </w:p>
    <w:p w:rsidR="005D2190" w:rsidRPr="00EB5DA5" w:rsidRDefault="005D2190" w:rsidP="005D2190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zapoznania się z metodyką organizacji oględzin oraz ze sposobami osobistego kierowania przez prokuratora oględzinami i przebiegiem eksperymentu; </w:t>
      </w:r>
    </w:p>
    <w:p w:rsidR="005D2190" w:rsidRPr="00EB5DA5" w:rsidRDefault="005D2190" w:rsidP="005D2190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analizowania materiałów zebranych w toku postępowania przygotowawczego celem ustalenia, czy istnieją przesłanki do powołania biegłego (biegłych), instytucji naukowej lub specjalistycznej; </w:t>
      </w:r>
    </w:p>
    <w:p w:rsidR="005D2190" w:rsidRPr="00EB5DA5" w:rsidRDefault="005D2190" w:rsidP="005D2190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zapoznania się z aktami spraw o różnorakiej problematyce dowodowej w celu poznania metodyki prowadzenia postępowań, w szczególności konstruowania treści pytań do biegłych w zależności od problemu dowodowego, taktyki kryminalistycznej i specjalizacji biegłego (instytutu itp.), a także pod kątem oceny wydanej przez biegłych opinii;</w:t>
      </w:r>
    </w:p>
    <w:p w:rsidR="005D2190" w:rsidRPr="00EB5DA5" w:rsidRDefault="005D2190" w:rsidP="005D2190">
      <w:pPr>
        <w:pStyle w:val="Akapitzlist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brania udziału w przesłuchaniu biegłych lub ich konfrontacji</w:t>
      </w:r>
      <w:r w:rsidR="00312267" w:rsidRPr="00EB5DA5">
        <w:rPr>
          <w:rFonts w:ascii="Times New Roman" w:eastAsia="Times New Roman" w:hAnsi="Times New Roman" w:cs="Times New Roman"/>
          <w:lang w:eastAsia="pl-PL"/>
        </w:rPr>
        <w:t>.</w:t>
      </w:r>
    </w:p>
    <w:p w:rsidR="00312267" w:rsidRPr="00EB5DA5" w:rsidRDefault="00312267" w:rsidP="00312267">
      <w:pPr>
        <w:spacing w:after="120"/>
        <w:rPr>
          <w:rFonts w:ascii="Times New Roman" w:eastAsia="Times New Roman" w:hAnsi="Times New Roman" w:cs="Times New Roman"/>
          <w:lang w:eastAsia="pl-PL"/>
        </w:rPr>
      </w:pPr>
    </w:p>
    <w:p w:rsidR="00312267" w:rsidRPr="00EB5DA5" w:rsidRDefault="00312267" w:rsidP="00312267">
      <w:pPr>
        <w:spacing w:after="120"/>
        <w:rPr>
          <w:rFonts w:ascii="Times New Roman" w:eastAsia="Times New Roman" w:hAnsi="Times New Roman" w:cs="Times New Roman"/>
          <w:lang w:eastAsia="pl-PL"/>
        </w:rPr>
      </w:pPr>
    </w:p>
    <w:p w:rsidR="005D2190" w:rsidRPr="00EB5DA5" w:rsidRDefault="005D2190" w:rsidP="005D2190">
      <w:pPr>
        <w:spacing w:after="120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Patroni praktyk powinni zadbać, aby aplikanci w szczególności mieli możliwość: </w:t>
      </w:r>
    </w:p>
    <w:p w:rsidR="005D2190" w:rsidRPr="00EB5DA5" w:rsidRDefault="005D2190" w:rsidP="005D2190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zapoznania się z protokołami czynności przewidzianych w art. 217 – 236b k.p.k. (m.in. zatrzymania rzeczy, przeszukania, oględzin) oraz z inną dokumentacją sporządzaną w związku z zatrzymaniem przedmiotów;</w:t>
      </w:r>
    </w:p>
    <w:p w:rsidR="005D2190" w:rsidRPr="00EB5DA5" w:rsidRDefault="005D2190" w:rsidP="005D2190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zapoznania się z zasadami rejestracji i przechowywania dowodów rzeczowych oraz postępowania z nimi ze szczególnym uwzględnieniem ograniczeń, co do możliwości przechowywania w prokuraturze niektórych rodzajów przedmiotów, a także zapoznania się z zasadami oceny ich przydatności dla potrzeb postępowania karnego;</w:t>
      </w:r>
    </w:p>
    <w:p w:rsidR="005D2190" w:rsidRPr="00EB5DA5" w:rsidRDefault="005D2190" w:rsidP="005D2190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udziału w dokonywaniu: oceny przydatności zatrzymanych przedmiotów dla potrzeb postępowania karnego („rzeczy zbędne dla postępowania karnego”), oceny poprawności przechowywania dowodów rzeczowych w ramach prowadzonych postępowań przygotowawczych (w tym środków płatniczych, środków odurzających i substancji psychotropowych, broni, amunicji itp.) oraz kontroli prawidłowości postępowania z dowodami rzeczowymi.</w:t>
      </w:r>
    </w:p>
    <w:p w:rsidR="005D2190" w:rsidRPr="00EB5DA5" w:rsidRDefault="005D2190" w:rsidP="005D2190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Uwzględnić przy tym należy, że jeżeli w danej jednostce nie są aktualnie wykonywane wymienione wyżej czynności, zalecanym jest udostępnianie aplikantom akt spraw zakończonych, w których takie czynności były przeprowadzone. </w:t>
      </w:r>
    </w:p>
    <w:p w:rsidR="005D2190" w:rsidRPr="00EB5DA5" w:rsidRDefault="005D2190" w:rsidP="005D2190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Powyższe zalecenia nie eliminują możliwości wykonywania przez aplikantów innych zadań wynikających z bieżącego funkcjonowania prokuratury. </w:t>
      </w:r>
    </w:p>
    <w:p w:rsidR="005D2190" w:rsidRPr="00EB5DA5" w:rsidRDefault="005D2190" w:rsidP="00C568A4">
      <w:pPr>
        <w:rPr>
          <w:rFonts w:ascii="Times New Roman" w:hAnsi="Times New Roman" w:cs="Times New Roman"/>
          <w:b/>
        </w:rPr>
      </w:pPr>
    </w:p>
    <w:sectPr w:rsidR="005D2190" w:rsidRPr="00EB5DA5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94B" w:rsidRDefault="00FA394B">
      <w:pPr>
        <w:spacing w:after="0" w:line="240" w:lineRule="auto"/>
      </w:pPr>
      <w:r>
        <w:separator/>
      </w:r>
    </w:p>
  </w:endnote>
  <w:endnote w:type="continuationSeparator" w:id="0">
    <w:p w:rsidR="00FA394B" w:rsidRDefault="00FA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816A4">
      <w:rPr>
        <w:noProof/>
      </w:rPr>
      <w:t>2</w:t>
    </w:r>
    <w:r>
      <w:rPr>
        <w:noProof/>
      </w:rPr>
      <w:fldChar w:fldCharType="end"/>
    </w:r>
  </w:p>
  <w:p w:rsidR="001B510F" w:rsidRDefault="00FA39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FA394B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FA394B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94B" w:rsidRDefault="00FA394B">
      <w:pPr>
        <w:spacing w:after="0" w:line="240" w:lineRule="auto"/>
      </w:pPr>
      <w:r>
        <w:separator/>
      </w:r>
    </w:p>
  </w:footnote>
  <w:footnote w:type="continuationSeparator" w:id="0">
    <w:p w:rsidR="00FA394B" w:rsidRDefault="00FA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FA394B" w:rsidP="003D147B">
    <w:pPr>
      <w:pStyle w:val="Nagwek"/>
      <w:ind w:right="4959"/>
      <w:jc w:val="center"/>
      <w:rPr>
        <w:b/>
      </w:rPr>
    </w:pPr>
  </w:p>
  <w:p w:rsidR="001B510F" w:rsidRPr="009E7ADE" w:rsidRDefault="00FA394B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FA394B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681C"/>
    <w:multiLevelType w:val="hybridMultilevel"/>
    <w:tmpl w:val="E6B42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47F1"/>
    <w:multiLevelType w:val="hybridMultilevel"/>
    <w:tmpl w:val="B412C1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77F60"/>
    <w:multiLevelType w:val="hybridMultilevel"/>
    <w:tmpl w:val="DC4273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73"/>
    <w:rsid w:val="000641D1"/>
    <w:rsid w:val="000742E9"/>
    <w:rsid w:val="000B4076"/>
    <w:rsid w:val="00111B7F"/>
    <w:rsid w:val="001145B3"/>
    <w:rsid w:val="001E3D21"/>
    <w:rsid w:val="002463BF"/>
    <w:rsid w:val="00312267"/>
    <w:rsid w:val="00313D8C"/>
    <w:rsid w:val="00393DD7"/>
    <w:rsid w:val="003C6E2C"/>
    <w:rsid w:val="00435CDB"/>
    <w:rsid w:val="00482F4C"/>
    <w:rsid w:val="004D36D2"/>
    <w:rsid w:val="004F5EA5"/>
    <w:rsid w:val="00591130"/>
    <w:rsid w:val="00593230"/>
    <w:rsid w:val="005C1373"/>
    <w:rsid w:val="005D2190"/>
    <w:rsid w:val="006C7A2B"/>
    <w:rsid w:val="00701E36"/>
    <w:rsid w:val="008C5381"/>
    <w:rsid w:val="008C7758"/>
    <w:rsid w:val="00915FBE"/>
    <w:rsid w:val="009508D5"/>
    <w:rsid w:val="00976143"/>
    <w:rsid w:val="00AB11E6"/>
    <w:rsid w:val="00BC1096"/>
    <w:rsid w:val="00C26662"/>
    <w:rsid w:val="00C568A4"/>
    <w:rsid w:val="00D675FF"/>
    <w:rsid w:val="00E512BB"/>
    <w:rsid w:val="00E67E13"/>
    <w:rsid w:val="00E816A4"/>
    <w:rsid w:val="00EB5DA5"/>
    <w:rsid w:val="00ED39E2"/>
    <w:rsid w:val="00F66E47"/>
    <w:rsid w:val="00F866FC"/>
    <w:rsid w:val="00F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AB8A"/>
  <w15:docId w15:val="{7840C652-AC54-4E21-A30C-FCF446C7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Rafał  Łyżwa WYKŁADOWCA KSSiP</cp:lastModifiedBy>
  <cp:revision>12</cp:revision>
  <dcterms:created xsi:type="dcterms:W3CDTF">2022-06-22T06:08:00Z</dcterms:created>
  <dcterms:modified xsi:type="dcterms:W3CDTF">2023-05-09T08:23:00Z</dcterms:modified>
</cp:coreProperties>
</file>