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DC" w:rsidRPr="00F938DC" w:rsidRDefault="00F938DC" w:rsidP="00F9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F938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38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38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38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38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Kraków, dnia 13 maja  2020 r.</w:t>
      </w:r>
    </w:p>
    <w:p w:rsidR="00F938DC" w:rsidRPr="00F938DC" w:rsidRDefault="00F938DC" w:rsidP="00F9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8DC" w:rsidRPr="00F938DC" w:rsidRDefault="00F938DC" w:rsidP="00F9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C"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OAP-II.420.13.2021</w:t>
      </w:r>
    </w:p>
    <w:p w:rsidR="00F938DC" w:rsidRPr="00F938DC" w:rsidRDefault="00F938DC" w:rsidP="00F938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8DC" w:rsidRPr="00F938DC" w:rsidRDefault="00F938DC" w:rsidP="00F938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8DC" w:rsidRPr="00F938DC" w:rsidRDefault="00F938DC" w:rsidP="00F938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Patroni Koordynatorzy</w:t>
      </w:r>
    </w:p>
    <w:p w:rsidR="00F938DC" w:rsidRPr="00F938DC" w:rsidRDefault="00F938DC" w:rsidP="00F938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</w:t>
      </w: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oraz Patroni Praktyk</w:t>
      </w:r>
    </w:p>
    <w:p w:rsidR="00F938DC" w:rsidRPr="00F938DC" w:rsidRDefault="00F938DC" w:rsidP="00F938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aplikantów aplikacji prokuratorskiej</w:t>
      </w:r>
    </w:p>
    <w:p w:rsidR="00F938DC" w:rsidRPr="00F938DC" w:rsidRDefault="00F938DC" w:rsidP="00F938D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38DC" w:rsidRPr="00F938DC" w:rsidRDefault="00F938DC" w:rsidP="00F938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938DC" w:rsidRPr="00F938DC" w:rsidRDefault="00F938DC" w:rsidP="00F938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 praktyk aplikantów 1  rocznika aplikacji uzupełniającej prokuratorskiej  po XIX zjeździe</w:t>
      </w:r>
    </w:p>
    <w:p w:rsidR="00F938DC" w:rsidRPr="00F938DC" w:rsidRDefault="00F938DC" w:rsidP="00F938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38DC" w:rsidRPr="00F938DC" w:rsidRDefault="00F938DC" w:rsidP="00F109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§ 2, 9 i 10 zarządzenia Dyrektora Krajowej Szkoły Sądownictwa               i Prokuratury w Krakowie Nr 132/2019 z dnia 15 marca 2019 roku w sprawie szczegółowych zasad odbywania praktyki przez aplikantów aplikacji sędziowskiej i prokuratorskiej, uprzejmie przedstawiam szczegółowy zakres tematyczny, który powinien być przedmiotem praktyk aplikantów aplikacji uzupełniającej prokuratorskiej odbywanych w wymiarze 2 dni </w:t>
      </w:r>
      <w:r w:rsidR="00F1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(do wyboru) </w:t>
      </w:r>
      <w:r w:rsidRPr="00F9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dniach: </w:t>
      </w:r>
      <w:r w:rsidRPr="00F9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maja, 1 lipca lub 2 lipca 2021 roku w prokuraturach okręgowych, wydziałach lub działach sądowych.</w:t>
      </w:r>
      <w:bookmarkStart w:id="0" w:name="_GoBack"/>
      <w:bookmarkEnd w:id="0"/>
    </w:p>
    <w:p w:rsidR="00F938DC" w:rsidRPr="00F938DC" w:rsidRDefault="00F938DC" w:rsidP="00F938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C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Założeniem praktyki jest zaznajomienie aplikantów z czynnościami i metodyką pracy patronów praktyk oraz doskonalenie umiejętności wykorzystania wiedzy teoretycznej              i znajomości orzecznictwa. Każdorazowo praktyka powinna utrwalić wiedzę zdobytą podczas  poprzedzających ją zajęć seminaryjnych w ramach zjazdu.</w:t>
      </w:r>
    </w:p>
    <w:p w:rsidR="00F938DC" w:rsidRPr="00F938DC" w:rsidRDefault="00F938DC" w:rsidP="00F938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8DC" w:rsidRPr="00F938DC" w:rsidRDefault="00F938DC" w:rsidP="00F938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XIX zjazdu aplikacji prokuratorskiej, który  odbędzie się w dniach: 29 </w:t>
      </w:r>
      <w:r w:rsidRPr="00F938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30 maja 2021 roku będą następujące zagadnienia:                            </w:t>
      </w:r>
      <w:r w:rsidRPr="00F938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38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38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938DC" w:rsidRPr="00F938DC" w:rsidRDefault="00F938DC" w:rsidP="00F938DC">
      <w:pPr>
        <w:tabs>
          <w:tab w:val="left" w:pos="561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938D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prawo karne procesowe </w:t>
      </w: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(nadzwyczajne środki zaskarżenia, podstawy i granice kasacji, szczególne uprawnienia Prokuratora Generalnego, skarga na wyrok sądu odwoławczego, podstawy wznowienia postępowania, charakter, przedmiot i tryb wznowienia, skarga nadzwyczajna, podjęcia postępowania umorzonego warunkowo – przesłanki i tryb), </w:t>
      </w:r>
    </w:p>
    <w:p w:rsidR="00F938DC" w:rsidRPr="00F938DC" w:rsidRDefault="00F938DC" w:rsidP="00F938DC">
      <w:pPr>
        <w:tabs>
          <w:tab w:val="left" w:pos="561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938D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 xml:space="preserve">- prawo karne wykonawcze </w:t>
      </w: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t>(rola prokuratora w postępowaniu wykonawczym, odroczenie wykonania i przerwa w wykonaniu kary pozbawienia wolności; warunkowe przedterminowe zwolnienie).</w:t>
      </w:r>
    </w:p>
    <w:p w:rsidR="00F938DC" w:rsidRPr="00F938DC" w:rsidRDefault="00F938DC" w:rsidP="00F938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Patroni oraz patroni koordynatorzy powinni zadbać, aby aplikanci mieli możliwość zapoznania się z praktyczną stroną udziału prokuratora w postępowaniach objętych tematyką zjazdu. </w:t>
      </w:r>
    </w:p>
    <w:p w:rsidR="00F938DC" w:rsidRPr="00F938DC" w:rsidRDefault="00F938DC" w:rsidP="00F938DC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Zasadniczym celem praktyki jest zapoznanie się z problematyką sporządzania kasacji </w:t>
      </w: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i odpowiedzi na kasację, utrwalenie umiejętności sporządzania zażalenia na postanowienia </w:t>
      </w: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odroczeniu wykonania kary pozbawienia wolności, o udzieleniu przerwy w wykonaniu kary pozbawienia wolności oraz o warunkowym przedterminowym zwolnieniu, a nadto zapoznanie aplikantów z metodyką udziału prokuratora w postępowaniach objętych tematyką zjazdu.</w:t>
      </w:r>
    </w:p>
    <w:p w:rsidR="00F938DC" w:rsidRPr="00F938DC" w:rsidRDefault="00F938DC" w:rsidP="00F938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Mając na uwadze, iż przedmiotem sprawdzianu po XIX zjeździe, </w:t>
      </w:r>
      <w:r w:rsidRPr="00F938D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który odbędzie się </w:t>
      </w:r>
      <w:r w:rsidRPr="00F938D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w dniu 3 lipca 2021 r.</w:t>
      </w: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jest </w:t>
      </w:r>
      <w:r w:rsidRPr="00F938DC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sporządzenie projektu nadzwyczajnego środka zaskarżenia lub odpowiedzi na taki środek</w:t>
      </w: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podstawowym celem praktyki jest, aby aplikanci opanowali tę właśnie umiejętność w jak najwyższym stopniu. Każdorazowo sporządzone projekty nadzwyczajnych środków zaskarżenia lub odpowiedzi na nie powinny zostać omówione przez patrona z aplikantem z perspektywy ich poprawności merytorycznej i formalnej. Podczas omawiania tych projektów patroni powinni przede wszystkim zwracać uwagę na: </w:t>
      </w:r>
    </w:p>
    <w:p w:rsidR="00F938DC" w:rsidRPr="00F938DC" w:rsidRDefault="00F938DC" w:rsidP="00F938DC">
      <w:pPr>
        <w:numPr>
          <w:ilvl w:val="0"/>
          <w:numId w:val="1"/>
        </w:numPr>
        <w:tabs>
          <w:tab w:val="left" w:pos="561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t>poprawność formułowania zarzutów podnoszonych w kasacji prokuratora,</w:t>
      </w:r>
    </w:p>
    <w:p w:rsidR="00F938DC" w:rsidRPr="00F938DC" w:rsidRDefault="00F938DC" w:rsidP="00F938DC">
      <w:pPr>
        <w:numPr>
          <w:ilvl w:val="0"/>
          <w:numId w:val="1"/>
        </w:numPr>
        <w:tabs>
          <w:tab w:val="left" w:pos="561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umiejętność identyfikowania kardynalnych błędów zaistniałych w postępowaniu przed sądem odwoławczym, które miały istotny wpływ na treść orzeczenia (w oparciu </w:t>
      </w: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analizę całości akt spraw – w tym protokołów rozpraw), lub innego rodzaju rażącego naruszenia prawa powodującego identyczne następstwo,</w:t>
      </w:r>
    </w:p>
    <w:p w:rsidR="00F938DC" w:rsidRPr="00F938DC" w:rsidRDefault="00F938DC" w:rsidP="00F938DC">
      <w:pPr>
        <w:numPr>
          <w:ilvl w:val="0"/>
          <w:numId w:val="1"/>
        </w:numPr>
        <w:tabs>
          <w:tab w:val="left" w:pos="561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umiejętność trafnej oceny zarzutów podnoszonych w kasacjach obrońców, m.in. </w:t>
      </w: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związku z rozróżnieniem kasacji bezzasadnych i oczywiście bezzasadnych.</w:t>
      </w:r>
    </w:p>
    <w:p w:rsidR="00F938DC" w:rsidRPr="00F938DC" w:rsidRDefault="00F938DC" w:rsidP="00F938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Konieczne będzie również umożliwienie aplikantom zapoznania się z jak największą liczbą spraw, w toku których wywiedziono i rozpoznano nadzwyczajne środki zaskarżenia oraz omówienia ich z patronem w kontekście zapadłego w sprawie ostatecznego rozstrzygnięcia podjętego przez właściwy sąd.</w:t>
      </w:r>
    </w:p>
    <w:p w:rsidR="00F938DC" w:rsidRPr="00F938DC" w:rsidRDefault="00F938DC" w:rsidP="00F938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Aplikanci powinni mieć możliwość zapoznania się z aktami spraw, w których prokurator wywiódł kasację, albo w których doszło do podjęcia postępowania warunkowo umorzonego lub do wznowienia postępowania sądowego, a także ze sprawami z wniosków </w:t>
      </w: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o odszkodowanie lub zadośćuczynienie za niewątpliwie niesłuszne skazanie, tymczasowe aresztowanie i zatrzymanie oraz o ułaskawienie. Analiza akt powinna zakończyć się omówieniem z patronem występujących w sprawie istotnych zagadnień proceduralnych </w:t>
      </w: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i materialnoprawnych. </w:t>
      </w:r>
    </w:p>
    <w:p w:rsidR="00F938DC" w:rsidRPr="00F938DC" w:rsidRDefault="00F938DC" w:rsidP="00F938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Aplikantom należy ponadto umożliwić sporządzenie projektów zażaleń na postanowienia o odroczeniu wykonania kary pozbawienia wolności, o udzieleniu przerwy </w:t>
      </w:r>
    </w:p>
    <w:p w:rsidR="00F938DC" w:rsidRPr="00F938DC" w:rsidRDefault="00F938DC" w:rsidP="00F938DC">
      <w:pPr>
        <w:tabs>
          <w:tab w:val="left" w:pos="561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t>w wykonaniu kary pozbawienia wolności oraz o warunkowym przedterminowym zwolnieniu.</w:t>
      </w:r>
    </w:p>
    <w:p w:rsidR="00F938DC" w:rsidRPr="00F938DC" w:rsidRDefault="00F938DC" w:rsidP="00F938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938D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Aplikanci powinni ponadto, w miarę możliwości, uczestniczyć w posiedzeniu sądu penitencjarnego na terenie zakładu karnego lub aresztu śledczego oraz w posiedzeniu komisji penitencjarnej, a nadto mieć możliwość zaznajomienia się z działalnością administracji zakładów karnych, metodyką zbierania przez ten organ dokumentów przedstawianych następnie na posiedzeniu oraz wnioskami prezentowanymi przez przedstawicieli zakładu karnego przed sądem.</w:t>
      </w:r>
    </w:p>
    <w:p w:rsidR="00F938DC" w:rsidRPr="00F938DC" w:rsidRDefault="00F938DC" w:rsidP="00F938DC">
      <w:pPr>
        <w:tabs>
          <w:tab w:val="left" w:pos="561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938DC" w:rsidRPr="00F938DC" w:rsidRDefault="00F938DC" w:rsidP="00F938DC">
      <w:pPr>
        <w:spacing w:after="0"/>
        <w:ind w:left="3540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F938DC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                                               Kierownik</w:t>
      </w:r>
    </w:p>
    <w:p w:rsidR="00F938DC" w:rsidRPr="00F938DC" w:rsidRDefault="00F938DC" w:rsidP="00F938DC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F938DC">
        <w:rPr>
          <w:rFonts w:ascii="Cambria" w:eastAsia="Times New Roman" w:hAnsi="Cambria" w:cs="Times New Roman"/>
          <w:b/>
          <w:sz w:val="20"/>
          <w:szCs w:val="20"/>
          <w:lang w:eastAsia="pl-PL"/>
        </w:rPr>
        <w:t>Działu Dydaktycznego</w:t>
      </w:r>
    </w:p>
    <w:p w:rsidR="00F938DC" w:rsidRPr="00F938DC" w:rsidRDefault="00F938DC" w:rsidP="00F938DC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F938DC">
        <w:rPr>
          <w:rFonts w:ascii="Cambria" w:eastAsia="Times New Roman" w:hAnsi="Cambria" w:cs="Times New Roman"/>
          <w:b/>
          <w:sz w:val="20"/>
          <w:szCs w:val="20"/>
          <w:lang w:eastAsia="pl-PL"/>
        </w:rPr>
        <w:t>w Ośrodku Aplikacji Prokuratorskiej</w:t>
      </w:r>
    </w:p>
    <w:p w:rsidR="00F938DC" w:rsidRPr="00F938DC" w:rsidRDefault="00F938DC" w:rsidP="00F938DC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F938DC">
        <w:rPr>
          <w:rFonts w:ascii="Cambria" w:eastAsia="Times New Roman" w:hAnsi="Cambria" w:cs="Times New Roman"/>
          <w:b/>
          <w:sz w:val="20"/>
          <w:szCs w:val="20"/>
          <w:lang w:eastAsia="pl-PL"/>
        </w:rPr>
        <w:t>Krajowej Szkoły Sądownictwa i Prokuratury</w:t>
      </w:r>
    </w:p>
    <w:p w:rsidR="00F938DC" w:rsidRPr="00F938DC" w:rsidRDefault="00F938DC" w:rsidP="00F938DC">
      <w:pPr>
        <w:spacing w:after="0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8DC" w:rsidRPr="00F938DC" w:rsidRDefault="00F938DC" w:rsidP="00F938DC">
      <w:pPr>
        <w:spacing w:after="0"/>
        <w:ind w:left="3540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</w:pPr>
      <w:r w:rsidRPr="00F938DC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>Marta Zin</w:t>
      </w:r>
    </w:p>
    <w:p w:rsidR="00F938DC" w:rsidRPr="00F938DC" w:rsidRDefault="00F938DC" w:rsidP="00F938DC">
      <w:pPr>
        <w:spacing w:after="0"/>
        <w:ind w:left="354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38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prokurator </w:t>
      </w:r>
    </w:p>
    <w:p w:rsidR="00F938DC" w:rsidRPr="00F938DC" w:rsidRDefault="00F938DC" w:rsidP="00F938DC">
      <w:pPr>
        <w:spacing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8DC" w:rsidRPr="00F938DC" w:rsidRDefault="00F938DC" w:rsidP="00F938DC">
      <w:pPr>
        <w:tabs>
          <w:tab w:val="left" w:pos="561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938DC" w:rsidRPr="00F938DC" w:rsidRDefault="00F938DC" w:rsidP="00F938DC">
      <w:pPr>
        <w:tabs>
          <w:tab w:val="left" w:pos="56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18A" w:rsidRDefault="00DE418A"/>
    <w:sectPr w:rsidR="00DE418A" w:rsidSect="00AE33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6A" w:rsidRDefault="00BE696A">
      <w:pPr>
        <w:spacing w:after="0" w:line="240" w:lineRule="auto"/>
      </w:pPr>
      <w:r>
        <w:separator/>
      </w:r>
    </w:p>
  </w:endnote>
  <w:endnote w:type="continuationSeparator" w:id="0">
    <w:p w:rsidR="00BE696A" w:rsidRDefault="00BE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FA" w:rsidRDefault="00F938DC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1096E">
      <w:rPr>
        <w:noProof/>
      </w:rPr>
      <w:t>3</w:t>
    </w:r>
    <w:r>
      <w:rPr>
        <w:noProof/>
      </w:rPr>
      <w:fldChar w:fldCharType="end"/>
    </w:r>
  </w:p>
  <w:p w:rsidR="00AE33FA" w:rsidRDefault="00BE69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AE33FA" w:rsidTr="00AE33F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AE33FA" w:rsidRPr="0074505E" w:rsidRDefault="00BE696A" w:rsidP="00AE33FA">
          <w:pPr>
            <w:pStyle w:val="Stopka"/>
            <w:rPr>
              <w:sz w:val="4"/>
              <w:szCs w:val="4"/>
            </w:rPr>
          </w:pPr>
        </w:p>
      </w:tc>
    </w:tr>
  </w:tbl>
  <w:p w:rsidR="00AE33FA" w:rsidRPr="00A944C8" w:rsidRDefault="00F938DC" w:rsidP="004066E3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AE33FA" w:rsidRPr="00A944C8" w:rsidRDefault="00F938DC" w:rsidP="004066E3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AE33FA" w:rsidRDefault="00BE696A" w:rsidP="004066E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6A" w:rsidRDefault="00BE696A">
      <w:pPr>
        <w:spacing w:after="0" w:line="240" w:lineRule="auto"/>
      </w:pPr>
      <w:r>
        <w:separator/>
      </w:r>
    </w:p>
  </w:footnote>
  <w:footnote w:type="continuationSeparator" w:id="0">
    <w:p w:rsidR="00BE696A" w:rsidRDefault="00BE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FA" w:rsidRPr="009B38B3" w:rsidRDefault="00F938DC" w:rsidP="00AE33F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FA" w:rsidRDefault="00F938DC" w:rsidP="00AE33F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6368944" wp14:editId="153CB685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AE33FA" w:rsidRDefault="00BE696A" w:rsidP="00AE33FA">
    <w:pPr>
      <w:pStyle w:val="Nagwek"/>
      <w:ind w:right="4959"/>
      <w:jc w:val="center"/>
      <w:rPr>
        <w:b/>
      </w:rPr>
    </w:pPr>
  </w:p>
  <w:p w:rsidR="00AE33FA" w:rsidRPr="009E7ADE" w:rsidRDefault="00BE696A" w:rsidP="00AE33FA">
    <w:pPr>
      <w:pStyle w:val="Nagwek"/>
      <w:ind w:left="-851" w:right="5526"/>
      <w:jc w:val="center"/>
      <w:rPr>
        <w:b/>
        <w:sz w:val="8"/>
        <w:szCs w:val="8"/>
      </w:rPr>
    </w:pPr>
  </w:p>
  <w:p w:rsidR="00AE33FA" w:rsidRPr="00551ABF" w:rsidRDefault="00F938DC" w:rsidP="00AE33F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AE33FA" w:rsidRPr="00D021CB" w:rsidRDefault="00F938DC" w:rsidP="00AE33F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AE33FA" w:rsidRPr="004F17DC" w:rsidRDefault="00BE696A" w:rsidP="00AE33F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675"/>
    <w:multiLevelType w:val="hybridMultilevel"/>
    <w:tmpl w:val="9078A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DC"/>
    <w:rsid w:val="00B4044F"/>
    <w:rsid w:val="00B963AB"/>
    <w:rsid w:val="00BE696A"/>
    <w:rsid w:val="00DE418A"/>
    <w:rsid w:val="00F1096E"/>
    <w:rsid w:val="00F9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9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38DC"/>
  </w:style>
  <w:style w:type="paragraph" w:styleId="Stopka">
    <w:name w:val="footer"/>
    <w:basedOn w:val="Normalny"/>
    <w:link w:val="StopkaZnak"/>
    <w:uiPriority w:val="99"/>
    <w:unhideWhenUsed/>
    <w:rsid w:val="00F9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9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38DC"/>
  </w:style>
  <w:style w:type="paragraph" w:styleId="Stopka">
    <w:name w:val="footer"/>
    <w:basedOn w:val="Normalny"/>
    <w:link w:val="StopkaZnak"/>
    <w:uiPriority w:val="99"/>
    <w:unhideWhenUsed/>
    <w:rsid w:val="00F9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4</cp:revision>
  <dcterms:created xsi:type="dcterms:W3CDTF">2021-05-18T11:58:00Z</dcterms:created>
  <dcterms:modified xsi:type="dcterms:W3CDTF">2021-05-18T12:10:00Z</dcterms:modified>
</cp:coreProperties>
</file>