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0D" w:rsidRPr="00B7498B" w:rsidRDefault="00D2460D" w:rsidP="0011248C">
      <w:pPr>
        <w:spacing w:before="120" w:after="120"/>
        <w:contextualSpacing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OAP-II.420</w:t>
      </w:r>
      <w:r w:rsidR="003C3051">
        <w:rPr>
          <w:rFonts w:ascii="Times New Roman" w:eastAsia="Times New Roman" w:hAnsi="Times New Roman" w:cs="Times New Roman"/>
          <w:sz w:val="24"/>
          <w:szCs w:val="24"/>
          <w:lang w:eastAsia="pl-PL"/>
        </w:rPr>
        <w:t>.13.2019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7498B">
        <w:rPr>
          <w:rFonts w:ascii="Times New Roman" w:eastAsia="Calibri" w:hAnsi="Times New Roman" w:cs="Times New Roman"/>
          <w:sz w:val="24"/>
          <w:szCs w:val="24"/>
        </w:rPr>
        <w:tab/>
      </w:r>
      <w:r w:rsidRPr="00B7498B">
        <w:rPr>
          <w:rFonts w:ascii="Times New Roman" w:eastAsia="Calibri" w:hAnsi="Times New Roman" w:cs="Times New Roman"/>
          <w:sz w:val="24"/>
          <w:szCs w:val="24"/>
        </w:rPr>
        <w:tab/>
      </w:r>
      <w:r w:rsidRPr="00B7498B">
        <w:rPr>
          <w:rFonts w:ascii="Times New Roman" w:eastAsia="Calibri" w:hAnsi="Times New Roman" w:cs="Times New Roman"/>
          <w:sz w:val="24"/>
          <w:szCs w:val="24"/>
        </w:rPr>
        <w:tab/>
      </w:r>
      <w:r w:rsidRPr="00B7498B">
        <w:rPr>
          <w:rFonts w:ascii="Times New Roman" w:eastAsia="Calibri" w:hAnsi="Times New Roman" w:cs="Times New Roman"/>
          <w:sz w:val="24"/>
          <w:szCs w:val="24"/>
        </w:rPr>
        <w:tab/>
      </w:r>
      <w:r w:rsidR="003F6D8D" w:rsidRPr="00B7498B">
        <w:rPr>
          <w:rFonts w:ascii="Times New Roman" w:eastAsia="Calibri" w:hAnsi="Times New Roman" w:cs="Times New Roman"/>
          <w:sz w:val="24"/>
          <w:szCs w:val="24"/>
        </w:rPr>
        <w:tab/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Kraków, dnia </w:t>
      </w:r>
      <w:r w:rsidR="006A6A4A" w:rsidRPr="00B7498B">
        <w:rPr>
          <w:rFonts w:ascii="Times New Roman" w:eastAsia="Calibri" w:hAnsi="Times New Roman" w:cs="Times New Roman"/>
          <w:sz w:val="24"/>
          <w:szCs w:val="24"/>
        </w:rPr>
        <w:t>6 sierpnia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3F6D8D" w:rsidRPr="00B7498B">
        <w:rPr>
          <w:rFonts w:ascii="Times New Roman" w:eastAsia="Calibri" w:hAnsi="Times New Roman" w:cs="Times New Roman"/>
          <w:sz w:val="24"/>
          <w:szCs w:val="24"/>
        </w:rPr>
        <w:t>9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D2460D" w:rsidRPr="00B7498B" w:rsidRDefault="00D2460D" w:rsidP="00D8642A">
      <w:pPr>
        <w:spacing w:before="720" w:after="72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 w:rsidRPr="00B7498B"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 w:rsidRPr="00B7498B"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 w:rsidRPr="00B7498B"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D2460D" w:rsidRPr="00B7498B" w:rsidRDefault="00D2460D" w:rsidP="0011248C">
      <w:pPr>
        <w:spacing w:before="120" w:after="120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49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Dotyczy: praktyk </w:t>
      </w:r>
      <w:r w:rsidR="0011248C" w:rsidRPr="00B7498B">
        <w:rPr>
          <w:rFonts w:ascii="Times New Roman" w:eastAsia="Calibri" w:hAnsi="Times New Roman" w:cs="Times New Roman"/>
          <w:b/>
          <w:i/>
          <w:sz w:val="24"/>
          <w:szCs w:val="24"/>
        </w:rPr>
        <w:t>10.</w:t>
      </w:r>
      <w:r w:rsidRPr="00B749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B7498B">
        <w:rPr>
          <w:rFonts w:ascii="Times New Roman" w:eastAsia="Calibri" w:hAnsi="Times New Roman" w:cs="Times New Roman"/>
          <w:b/>
          <w:i/>
          <w:sz w:val="24"/>
          <w:szCs w:val="24"/>
        </w:rPr>
        <w:t>rocznika</w:t>
      </w:r>
      <w:proofErr w:type="gramEnd"/>
      <w:r w:rsidRPr="00B7498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aplikacji prokuratorskiej po VI zjeździe</w:t>
      </w:r>
    </w:p>
    <w:p w:rsidR="00D2460D" w:rsidRPr="00B7498B" w:rsidRDefault="00D2460D" w:rsidP="0011248C">
      <w:pPr>
        <w:spacing w:before="120" w:after="1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2460D" w:rsidRPr="00B7498B" w:rsidRDefault="006A6A4A" w:rsidP="00BA15D8">
      <w:pPr>
        <w:spacing w:before="120"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98B">
        <w:rPr>
          <w:rFonts w:ascii="Times New Roman" w:eastAsia="Calibri" w:hAnsi="Times New Roman" w:cs="Times New Roman"/>
          <w:sz w:val="24"/>
          <w:szCs w:val="24"/>
        </w:rPr>
        <w:t>Na podstawie § 2 zarządzenia Dyrektora Krajowej Szkoły Sądownictwa i Prokuratury w</w:t>
      </w:r>
      <w:r w:rsidR="000131DD">
        <w:rPr>
          <w:rFonts w:ascii="Times New Roman" w:eastAsia="Calibri" w:hAnsi="Times New Roman" w:cs="Times New Roman"/>
          <w:sz w:val="24"/>
          <w:szCs w:val="24"/>
        </w:rPr>
        <w:t> </w:t>
      </w:r>
      <w:r w:rsidRPr="00B7498B">
        <w:rPr>
          <w:rFonts w:ascii="Times New Roman" w:eastAsia="Calibri" w:hAnsi="Times New Roman" w:cs="Times New Roman"/>
          <w:sz w:val="24"/>
          <w:szCs w:val="24"/>
        </w:rPr>
        <w:t>Krakowie Nr 132/2019 z dnia 15 marca 2019 r</w:t>
      </w:r>
      <w:r w:rsidR="000131DD">
        <w:rPr>
          <w:rFonts w:ascii="Times New Roman" w:eastAsia="Calibri" w:hAnsi="Times New Roman" w:cs="Times New Roman"/>
          <w:sz w:val="24"/>
          <w:szCs w:val="24"/>
        </w:rPr>
        <w:t>.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342F4">
        <w:rPr>
          <w:rFonts w:ascii="Times New Roman" w:eastAsia="Calibri" w:hAnsi="Times New Roman" w:cs="Times New Roman"/>
          <w:i/>
          <w:sz w:val="24"/>
          <w:szCs w:val="24"/>
        </w:rPr>
        <w:t>w sprawie szczegółowych zasad odbywania praktyk przez aplikantów aplikacji sędziowskiej i prokuratorskiej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uprzejmie przedstawiam szczegółowy zakres tematyczny, który winien być przedmiotem praktyk aplikantów aplikacji prokuratorskiej</w:t>
      </w:r>
      <w:r w:rsidR="003342F4">
        <w:rPr>
          <w:rFonts w:ascii="Times New Roman" w:eastAsia="Calibri" w:hAnsi="Times New Roman" w:cs="Times New Roman"/>
          <w:sz w:val="24"/>
          <w:szCs w:val="24"/>
        </w:rPr>
        <w:t>,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odbywanych od 16 września do 4 października 2019 r. w prokuraturach rejonowych (</w:t>
      </w:r>
      <w:r w:rsidR="00247567" w:rsidRPr="00B7498B">
        <w:rPr>
          <w:rFonts w:ascii="Times New Roman" w:eastAsia="Calibri" w:hAnsi="Times New Roman" w:cs="Times New Roman"/>
          <w:sz w:val="24"/>
          <w:szCs w:val="24"/>
        </w:rPr>
        <w:t>3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tygodnie).</w:t>
      </w:r>
      <w:r w:rsidR="00D2460D" w:rsidRPr="00B7498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2460D" w:rsidRPr="00B7498B" w:rsidRDefault="00D2460D" w:rsidP="00BA15D8">
      <w:pPr>
        <w:spacing w:before="120"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98B">
        <w:rPr>
          <w:rFonts w:ascii="Times New Roman" w:eastAsia="Calibri" w:hAnsi="Times New Roman" w:cs="Times New Roman"/>
          <w:sz w:val="24"/>
          <w:szCs w:val="24"/>
        </w:rPr>
        <w:t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</w:t>
      </w:r>
      <w:r w:rsidR="00247567" w:rsidRPr="00B7498B">
        <w:rPr>
          <w:rFonts w:ascii="Times New Roman" w:eastAsia="Calibri" w:hAnsi="Times New Roman" w:cs="Times New Roman"/>
          <w:sz w:val="24"/>
          <w:szCs w:val="24"/>
        </w:rPr>
        <w:t>ego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ją zjazdu. </w:t>
      </w:r>
    </w:p>
    <w:p w:rsidR="00D2460D" w:rsidRPr="00B7498B" w:rsidRDefault="00D2460D" w:rsidP="00BA15D8">
      <w:pPr>
        <w:spacing w:before="120" w:after="12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98B">
        <w:rPr>
          <w:rFonts w:ascii="Times New Roman" w:eastAsia="Calibri" w:hAnsi="Times New Roman" w:cs="Times New Roman"/>
          <w:b/>
          <w:sz w:val="24"/>
          <w:szCs w:val="24"/>
        </w:rPr>
        <w:t>Przedmiotem V</w:t>
      </w:r>
      <w:r w:rsidR="00247567" w:rsidRPr="00B7498B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B7498B">
        <w:rPr>
          <w:rFonts w:ascii="Times New Roman" w:eastAsia="Calibri" w:hAnsi="Times New Roman" w:cs="Times New Roman"/>
          <w:b/>
          <w:sz w:val="24"/>
          <w:szCs w:val="24"/>
        </w:rPr>
        <w:t xml:space="preserve"> zjazdu aplikacji prokuratorskiej</w:t>
      </w:r>
      <w:r w:rsidR="00C6575D">
        <w:rPr>
          <w:rFonts w:ascii="Times New Roman" w:eastAsia="Calibri" w:hAnsi="Times New Roman" w:cs="Times New Roman"/>
          <w:sz w:val="24"/>
          <w:szCs w:val="24"/>
        </w:rPr>
        <w:t>,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trwającego w dniach od </w:t>
      </w:r>
      <w:r w:rsidR="00497C09" w:rsidRPr="00B7498B">
        <w:rPr>
          <w:rFonts w:ascii="Times New Roman" w:eastAsia="Calibri" w:hAnsi="Times New Roman" w:cs="Times New Roman"/>
          <w:sz w:val="24"/>
          <w:szCs w:val="24"/>
        </w:rPr>
        <w:t>9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do 1</w:t>
      </w:r>
      <w:r w:rsidR="00497C09" w:rsidRPr="00B7498B">
        <w:rPr>
          <w:rFonts w:ascii="Times New Roman" w:eastAsia="Calibri" w:hAnsi="Times New Roman" w:cs="Times New Roman"/>
          <w:sz w:val="24"/>
          <w:szCs w:val="24"/>
        </w:rPr>
        <w:t>3</w:t>
      </w:r>
      <w:r w:rsidR="00247567" w:rsidRPr="00B7498B">
        <w:rPr>
          <w:rFonts w:ascii="Times New Roman" w:eastAsia="Calibri" w:hAnsi="Times New Roman" w:cs="Times New Roman"/>
          <w:sz w:val="24"/>
          <w:szCs w:val="24"/>
        </w:rPr>
        <w:t> </w:t>
      </w:r>
      <w:r w:rsidRPr="00B7498B">
        <w:rPr>
          <w:rFonts w:ascii="Times New Roman" w:eastAsia="Calibri" w:hAnsi="Times New Roman" w:cs="Times New Roman"/>
          <w:sz w:val="24"/>
          <w:szCs w:val="24"/>
        </w:rPr>
        <w:t>września 201</w:t>
      </w:r>
      <w:r w:rsidR="00497C09" w:rsidRPr="00B7498B">
        <w:rPr>
          <w:rFonts w:ascii="Times New Roman" w:eastAsia="Calibri" w:hAnsi="Times New Roman" w:cs="Times New Roman"/>
          <w:sz w:val="24"/>
          <w:szCs w:val="24"/>
        </w:rPr>
        <w:t>9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r.</w:t>
      </w:r>
      <w:r w:rsidR="00C6575D">
        <w:rPr>
          <w:rFonts w:ascii="Times New Roman" w:eastAsia="Calibri" w:hAnsi="Times New Roman" w:cs="Times New Roman"/>
          <w:sz w:val="24"/>
          <w:szCs w:val="24"/>
        </w:rPr>
        <w:t>,</w:t>
      </w:r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A4A" w:rsidRPr="00B7498B">
        <w:rPr>
          <w:rFonts w:ascii="Times New Roman" w:eastAsia="Calibri" w:hAnsi="Times New Roman" w:cs="Times New Roman"/>
          <w:b/>
          <w:sz w:val="24"/>
          <w:szCs w:val="24"/>
        </w:rPr>
        <w:t>jest w szczególności</w:t>
      </w:r>
      <w:r w:rsidRPr="00B7498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A6A4A" w:rsidRPr="00FC352A" w:rsidRDefault="002B7336" w:rsidP="0011248C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i/>
          <w:sz w:val="24"/>
          <w:szCs w:val="24"/>
        </w:rPr>
        <w:t>p</w:t>
      </w:r>
      <w:r w:rsidR="006A6A4A" w:rsidRPr="00FC352A">
        <w:rPr>
          <w:rFonts w:ascii="Times New Roman" w:eastAsia="Calibri" w:hAnsi="Times New Roman" w:cs="Times New Roman"/>
          <w:b/>
          <w:i/>
          <w:sz w:val="24"/>
          <w:szCs w:val="24"/>
        </w:rPr>
        <w:t>rawo</w:t>
      </w:r>
      <w:proofErr w:type="gramEnd"/>
      <w:r w:rsidR="006A6A4A" w:rsidRPr="00FC35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karne procesowe</w:t>
      </w:r>
      <w:r w:rsidR="006A6A4A" w:rsidRPr="00FC352A">
        <w:rPr>
          <w:rFonts w:ascii="Times New Roman" w:eastAsia="Calibri" w:hAnsi="Times New Roman" w:cs="Times New Roman"/>
          <w:i/>
          <w:sz w:val="24"/>
          <w:szCs w:val="24"/>
        </w:rPr>
        <w:t>: kontynuacja zajęć z zakresu form postępowania przygotowawczego: śledztwo, dochodzenie; czynności zastrzeżone dla prokuratora w</w:t>
      </w:r>
      <w:r w:rsidR="00497C09" w:rsidRPr="00FC352A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6A6A4A" w:rsidRPr="00FC352A">
        <w:rPr>
          <w:rFonts w:ascii="Times New Roman" w:eastAsia="Calibri" w:hAnsi="Times New Roman" w:cs="Times New Roman"/>
          <w:i/>
          <w:sz w:val="24"/>
          <w:szCs w:val="24"/>
        </w:rPr>
        <w:t xml:space="preserve">śledztwie; </w:t>
      </w:r>
      <w:r w:rsidR="006A6A4A" w:rsidRPr="00FC352A">
        <w:rPr>
          <w:rFonts w:ascii="Times New Roman" w:eastAsia="Calibri" w:hAnsi="Times New Roman" w:cs="Times New Roman"/>
          <w:b/>
          <w:i/>
          <w:sz w:val="24"/>
          <w:szCs w:val="24"/>
        </w:rPr>
        <w:t>środki zapobiegawcze stosowane przez prokuratora; kary porządkowe; tymczasowe zajęcie mienia; zabezpieczenie majątkowe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6A6A4A" w:rsidRPr="00B7498B" w:rsidRDefault="006A6A4A" w:rsidP="0011248C">
      <w:pPr>
        <w:spacing w:before="120"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7498B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B7498B">
        <w:rPr>
          <w:rFonts w:ascii="Times New Roman" w:eastAsia="Calibri" w:hAnsi="Times New Roman" w:cs="Times New Roman"/>
          <w:sz w:val="24"/>
          <w:szCs w:val="24"/>
        </w:rPr>
        <w:t xml:space="preserve"> nadto:</w:t>
      </w:r>
    </w:p>
    <w:p w:rsidR="006A6A4A" w:rsidRPr="00FC352A" w:rsidRDefault="002B7336" w:rsidP="0011248C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="006A6A4A" w:rsidRPr="00FC352A">
        <w:rPr>
          <w:rFonts w:ascii="Times New Roman" w:eastAsia="Calibri" w:hAnsi="Times New Roman" w:cs="Times New Roman"/>
          <w:i/>
          <w:sz w:val="24"/>
          <w:szCs w:val="24"/>
        </w:rPr>
        <w:t>rawo</w:t>
      </w:r>
      <w:proofErr w:type="gramEnd"/>
      <w:r w:rsidR="006A6A4A" w:rsidRPr="00FC352A">
        <w:rPr>
          <w:rFonts w:ascii="Times New Roman" w:eastAsia="Calibri" w:hAnsi="Times New Roman" w:cs="Times New Roman"/>
          <w:i/>
          <w:sz w:val="24"/>
          <w:szCs w:val="24"/>
        </w:rPr>
        <w:t xml:space="preserve"> karne materialne: formy popełnienia przestępstwa, postacie stadialne i</w:t>
      </w:r>
      <w:r w:rsidR="00497C09" w:rsidRPr="00FC352A">
        <w:rPr>
          <w:rFonts w:ascii="Times New Roman" w:eastAsia="Calibri" w:hAnsi="Times New Roman" w:cs="Times New Roman"/>
          <w:i/>
          <w:sz w:val="24"/>
          <w:szCs w:val="24"/>
        </w:rPr>
        <w:t> </w:t>
      </w:r>
      <w:r w:rsidR="006A6A4A" w:rsidRPr="00FC352A">
        <w:rPr>
          <w:rFonts w:ascii="Times New Roman" w:eastAsia="Calibri" w:hAnsi="Times New Roman" w:cs="Times New Roman"/>
          <w:i/>
          <w:sz w:val="24"/>
          <w:szCs w:val="24"/>
        </w:rPr>
        <w:t xml:space="preserve">zjawiskowe; </w:t>
      </w:r>
      <w:r w:rsidR="006A6A4A" w:rsidRPr="00FC352A">
        <w:rPr>
          <w:rFonts w:ascii="Times New Roman" w:eastAsiaTheme="minorEastAsia" w:hAnsi="Times New Roman"/>
          <w:i/>
          <w:kern w:val="144"/>
          <w:sz w:val="24"/>
          <w:lang w:eastAsia="pl-PL"/>
        </w:rPr>
        <w:t>zbieg przestępstw i zbieg przepisów ustawy</w:t>
      </w:r>
      <w:r>
        <w:rPr>
          <w:rFonts w:ascii="Times New Roman" w:eastAsiaTheme="minorEastAsia" w:hAnsi="Times New Roman"/>
          <w:i/>
          <w:kern w:val="144"/>
          <w:sz w:val="24"/>
          <w:lang w:eastAsia="pl-PL"/>
        </w:rPr>
        <w:t>,</w:t>
      </w:r>
    </w:p>
    <w:p w:rsidR="00D2460D" w:rsidRPr="00FC352A" w:rsidRDefault="002B7336" w:rsidP="0011248C">
      <w:pPr>
        <w:numPr>
          <w:ilvl w:val="0"/>
          <w:numId w:val="1"/>
        </w:numPr>
        <w:spacing w:before="120" w:after="120"/>
        <w:ind w:left="0" w:firstLine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/>
          <w:sz w:val="24"/>
          <w:szCs w:val="24"/>
        </w:rPr>
        <w:t>p</w:t>
      </w:r>
      <w:r w:rsidR="00D2460D" w:rsidRPr="00FC352A">
        <w:rPr>
          <w:rFonts w:ascii="Times New Roman" w:eastAsia="Calibri" w:hAnsi="Times New Roman" w:cs="Times New Roman"/>
          <w:i/>
          <w:sz w:val="24"/>
          <w:szCs w:val="24"/>
        </w:rPr>
        <w:t>rawa</w:t>
      </w:r>
      <w:proofErr w:type="gramEnd"/>
      <w:r w:rsidR="00D2460D" w:rsidRPr="00FC352A">
        <w:rPr>
          <w:rFonts w:ascii="Times New Roman" w:eastAsia="Calibri" w:hAnsi="Times New Roman" w:cs="Times New Roman"/>
          <w:i/>
          <w:sz w:val="24"/>
          <w:szCs w:val="24"/>
        </w:rPr>
        <w:t xml:space="preserve"> człowieka w postępowaniu karnym: orzecznictwo Europejskiego Trybunału Praw Człowieka – z uwzględnieniem spraw polskich – dotyczące problematyki karnej; zasady proporcjonalności i rzeczywistej ochrony praw człowieka, prawo do życia, zakaz tortur, prawo do wolności i bezpieczeństwa osobistego, prawo do rzetelnego procesu.</w:t>
      </w:r>
    </w:p>
    <w:p w:rsidR="00DE2BB4" w:rsidRPr="006E7600" w:rsidRDefault="00D2460D" w:rsidP="00BA15D8">
      <w:pPr>
        <w:spacing w:before="120" w:after="120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Patroni praktyk </w:t>
      </w:r>
      <w:proofErr w:type="gramStart"/>
      <w:r w:rsidRPr="006E76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winni zatem</w:t>
      </w:r>
      <w:proofErr w:type="gramEnd"/>
      <w:r w:rsidRPr="006E76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zadbać, aby aplikanci w pierwszej kolejności mieli możliwość zapoznania się </w:t>
      </w:r>
      <w:r w:rsidR="00D315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aktami</w:t>
      </w:r>
      <w:r w:rsidR="006A6A4A" w:rsidRPr="006E76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postępowań karnych pod kątem</w:t>
      </w:r>
      <w:r w:rsidR="00DE2BB4" w:rsidRPr="006E76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oceny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prawidłowości zastosowania tymczasowego zajęcia mienia ruchomego (art. 295 k.p.k.) 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gromadzenia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 oceny dokumentacji procesowej wskazującej na zabezpieczenie mienia ruchomego lub dokumentującej poszukiwanie i ujawnianie składników majątkowych podejrzanego (bazy danych, wypisy z ksiąg wieczystych, akty notarialne, dokumentacja bankowa itd.), 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analizy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materiałów zebranych w toku postępowania przygotowawczego celem ustalenia, czy istnieją przesłanki do wydania postanowienia o zabezpieczeniu majątkowym (art. 291 k.p.k.), a także analiza akt w zakresie sposobu zabezpieczenia (art. 292 k.p.k.), 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sporządzania</w:t>
      </w:r>
      <w:proofErr w:type="gramEnd"/>
      <w:r w:rsidRPr="006E76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postanowień o zabezpieczeniu majątkowym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ze szczególnym uwzględnieniem właściwego określania zakresu kwotowego i sposobu zabezpieczenia </w:t>
      </w:r>
      <w:r w:rsidR="00BB6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art.</w:t>
      </w:r>
      <w:r w:rsidR="00CE327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293 § 2 k.p.k.</w:t>
      </w:r>
      <w:r w:rsidR="00BB6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uzasadniania decyzji, a także podkreśleniem znaczenia zmian ustawodawczych zarówno w odniesieniu do zakresu i przedmiotu zabezpieczenia, jak i </w:t>
      </w:r>
      <w:r w:rsidR="00BB65D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trybu wykonania decyzji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sporządzania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notatki analitycznej uzasadniającej stanowisko o braku podstaw lub konieczności zastosowania zabezpieczenia majątkowego – w całości lub w określonej formie,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oceny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zasadności zażaleń na postanowienia prokuratora o zastosowaniu zabezpieczenia majątkowego, </w:t>
      </w:r>
    </w:p>
    <w:p w:rsidR="0011248C" w:rsidRPr="006E7600" w:rsidRDefault="0011248C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analizy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materiałów zebranych w toku postępowania przygotowawczego, w którym zastosowano zabezpieczenie majątkowe, pod kątem potrzeby uchylenia decyzji w całości lub części (art. 291 § 4 k.p.k.),</w:t>
      </w:r>
    </w:p>
    <w:p w:rsidR="0011248C" w:rsidRPr="006E7600" w:rsidRDefault="0011248C" w:rsidP="0011248C">
      <w:pPr>
        <w:spacing w:before="120" w:after="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proofErr w:type="gramEnd"/>
      <w:r w:rsidRPr="006E76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nadto:</w:t>
      </w:r>
    </w:p>
    <w:p w:rsidR="003F6D8D" w:rsidRPr="006E7600" w:rsidRDefault="003F6D8D" w:rsidP="0011248C">
      <w:pPr>
        <w:pStyle w:val="Akapitzlist"/>
        <w:numPr>
          <w:ilvl w:val="0"/>
          <w:numId w:val="5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oceny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B331D7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zasadności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stosowania środków zapobiegawczych i wyboru właściwego środka z uwagi na zdiagnozowane zagrożenia dla prawidłowości biegu postępowania przygotowawczego,</w:t>
      </w:r>
    </w:p>
    <w:p w:rsidR="00DE2BB4" w:rsidRPr="006E7600" w:rsidRDefault="00DE2BB4" w:rsidP="0011248C">
      <w:pPr>
        <w:pStyle w:val="Akapitzlist"/>
        <w:numPr>
          <w:ilvl w:val="0"/>
          <w:numId w:val="5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zapozna</w:t>
      </w:r>
      <w:r w:rsidR="00497C0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nia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się z obowiązującymi schematami decyzji o stosowaniu wolnościowych środków zapobiegawczych, z uwzględnieniem możliwości</w:t>
      </w:r>
      <w:r w:rsidR="003F6D8D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ich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łączenia,</w:t>
      </w:r>
    </w:p>
    <w:p w:rsidR="00DE2BB4" w:rsidRPr="006E7600" w:rsidRDefault="00DE2BB4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opracowywania</w:t>
      </w:r>
      <w:proofErr w:type="gramEnd"/>
      <w:r w:rsidRPr="006E7600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postanowień o zastosowaniu środków zapobiegawczych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w tym poręczeni</w:t>
      </w:r>
      <w:r w:rsidR="00497C0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majątkow</w:t>
      </w:r>
      <w:r w:rsidR="00497C0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ego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(art. 266 k.p.k.), poręczenia społecznego (art. 271 k.p.k.), porę</w:t>
      </w:r>
      <w:r w:rsidR="00C931F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czenia osoby godnej zaufania 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(art. 272 k.p.k.), dozoru Policji (art.</w:t>
      </w:r>
      <w:r w:rsidR="00C931F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275 k.p.k.), nakazu opuszczenia lokalu mieszkalnego (art. 275a k.p.k.), zawieszenia w</w:t>
      </w:r>
      <w:r w:rsidR="00497C0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czynnościach (art. 276 k.p.k.), zakazu opuszczania kraju (art. 277 k.p.k.), </w:t>
      </w:r>
    </w:p>
    <w:p w:rsidR="00DE2BB4" w:rsidRPr="006E7600" w:rsidRDefault="00DE2BB4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uzasadni</w:t>
      </w:r>
      <w:r w:rsidR="00497C0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nia tych decyzji – zarówno w warstwie zasadności zastosowania</w:t>
      </w:r>
      <w:r w:rsidR="00C931F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jak</w:t>
      </w:r>
      <w:r w:rsidR="00C931F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i</w:t>
      </w:r>
      <w:r w:rsidR="003F6D8D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wyboru konkretnego środka, </w:t>
      </w: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tak </w:t>
      </w:r>
      <w:r w:rsidR="00C931F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by</w:t>
      </w:r>
      <w:proofErr w:type="gramEnd"/>
      <w:r w:rsidR="003F6D8D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uzasadnienie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nie sprowadzało się wyłącznie do powtórzenia tekstu ustawy ( art. 251 § 3 k.p.k.),</w:t>
      </w:r>
    </w:p>
    <w:p w:rsidR="00DE2BB4" w:rsidRPr="006E7600" w:rsidRDefault="00C544AB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oceny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zasadności zażaleń na postanowienia prokuratora o zastosowaniu środków zapobiegawczych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</w:p>
    <w:p w:rsidR="00DE2BB4" w:rsidRPr="006E7600" w:rsidRDefault="00DE2BB4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analizy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3F6D8D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zebranych 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materiałów pod kątem potrzeby zmiany lub uchylenia</w:t>
      </w:r>
      <w:r w:rsidR="003F6D8D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środka zapobiegawczego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(art. 253 k.p.k.),</w:t>
      </w:r>
    </w:p>
    <w:p w:rsidR="00DE2BB4" w:rsidRPr="006E7600" w:rsidRDefault="00DE2BB4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opracowania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decyzji o odmowie uwzględnienia wniosku w przedmiocie uchylenia lub zmiany środka zapobiegawczego, w tym także – decyzji częściowo uwzględniającej wniosek</w:t>
      </w:r>
      <w:r w:rsidR="000333C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(art. 254 </w:t>
      </w:r>
      <w:r w:rsidR="000333C7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k.p.k.)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:rsidR="00DE2BB4" w:rsidRPr="006E7600" w:rsidRDefault="00DE2BB4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doręczania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ww. postanowień odpowiednim instytucjom, a w tym: pracodawcy, właściwemu organowi samorządu zawodowego albo instytucj</w:t>
      </w:r>
      <w:r w:rsidR="006E12F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i, Komendzie Głównej Policji (§ 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198 Regulaminu), Komendzie Głównej Straży Granicznej (§ 197 Regulaminu),</w:t>
      </w:r>
    </w:p>
    <w:p w:rsidR="0011248C" w:rsidRPr="00B7498B" w:rsidRDefault="0011248C" w:rsidP="006E7600">
      <w:pPr>
        <w:keepNext/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proofErr w:type="gramEnd"/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21B59" w:rsidRPr="006E7600" w:rsidRDefault="003F6D8D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analizy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materiałów zebranych w toku postępowania przygotowawczego celem ustalenia, czy istnieją przesłanki do wydania postanowienia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 nałożeniu na świadka, biegłego, tłumacza lub specjalistę kary pieniężnej (art. 285 k.p.k.) 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lub o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uchyleni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takiej 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kary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(art. 286 k.p.k.)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oraz </w:t>
      </w:r>
      <w:r w:rsidR="00C21B5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sporządzani</w:t>
      </w:r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</w:t>
      </w:r>
      <w:r w:rsidR="00C21B5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takich postanowień wraz z</w:t>
      </w:r>
      <w:r w:rsidR="00497C0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 </w:t>
      </w:r>
      <w:r w:rsidR="00C21B59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uzasadnieniem,</w:t>
      </w:r>
    </w:p>
    <w:p w:rsidR="00DE2BB4" w:rsidRPr="006E7600" w:rsidRDefault="003F6D8D" w:rsidP="0011248C">
      <w:pPr>
        <w:pStyle w:val="Akapitzlist"/>
        <w:numPr>
          <w:ilvl w:val="0"/>
          <w:numId w:val="6"/>
        </w:numPr>
        <w:spacing w:before="120" w:after="120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gramStart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oceny</w:t>
      </w:r>
      <w:proofErr w:type="gramEnd"/>
      <w:r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zasadności zażaleń na postanowienia prokuratora o nałożeniu kary pieniężnej</w:t>
      </w:r>
      <w:r w:rsidR="00DE2BB4" w:rsidRPr="006E760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DE2BB4" w:rsidRPr="00B7498B" w:rsidRDefault="00DE2BB4" w:rsidP="00BA15D8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wykonywaniu powyższych czynności aplikantom należy zwracać uwagę nie tylko na przepisy Kodeksu postępowania karnego i oparte na nich orzecznictwo, ale również na zasady wynikające z Regulaminu wewnętrznego urzędowania powszechnych jednostek organizacyjnych prokuratury oraz wytycznych i pism instrukcyjnych. W szczególności w</w:t>
      </w:r>
      <w:r w:rsidR="00247567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kontekście zasad stosowania zabezpieczenia majątkowego należy omówić z aplikantami, na konkretnych przykładach, praktyczne uwarunkowania wynikające z takich wytycznych i</w:t>
      </w:r>
      <w:r w:rsidR="00247567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poleceń dla poszczególnych rodzajów przestępstw, a także przedstawić uzgodnienia z</w:t>
      </w:r>
      <w:r w:rsidR="00247567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kooperantami </w:t>
      </w:r>
      <w:proofErr w:type="gramStart"/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procesowymi co</w:t>
      </w:r>
      <w:proofErr w:type="gramEnd"/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sposobu realizacji polecenia gromadzenia informacji o</w:t>
      </w:r>
      <w:r w:rsidR="00247567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stanie majątkowym osób na etapie przed formalnym przedstawieniem zarzutu.</w:t>
      </w:r>
    </w:p>
    <w:p w:rsidR="007B706A" w:rsidRPr="00B7498B" w:rsidRDefault="007B706A" w:rsidP="00BA15D8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O ile może służyć to realizacji celu praktyk, aplikanci powinni móc pracować także na aktach spraw, którymi ich patron formalnie się nie zajmuje</w:t>
      </w:r>
    </w:p>
    <w:p w:rsidR="00DE2BB4" w:rsidRPr="00B7498B" w:rsidRDefault="00DE2BB4" w:rsidP="00BA15D8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Powyższe zalecenia nie eliminują możliwości wykonywania przez aplikantów innych zadań wynikających z bieżącego funkcjonowania prokuratury. </w:t>
      </w:r>
      <w:r w:rsidR="007B706A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mogą one jednak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przeważa</w:t>
      </w:r>
      <w:r w:rsidR="007B706A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praktyki.</w:t>
      </w:r>
    </w:p>
    <w:p w:rsidR="00D2460D" w:rsidRPr="00B7498B" w:rsidRDefault="00D2460D" w:rsidP="00BA15D8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Uprzejmie informuję, że </w:t>
      </w:r>
      <w:r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przedmiotem sprawdzianu, który aplikanci będą pisać po odbyciu praktyk po V</w:t>
      </w:r>
      <w:r w:rsidR="00DE2BB4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zjeździe (</w:t>
      </w:r>
      <w:r w:rsidR="00630C9E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tj. w dniu </w:t>
      </w:r>
      <w:r w:rsidR="007B706A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 października 2019 r.</w:t>
      </w:r>
      <w:r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7B706A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będzie </w:t>
      </w:r>
      <w:r w:rsidR="00DE2BB4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opracowanie projektu postanowienia o zabezpieczeniu majątkowym</w:t>
      </w:r>
      <w:r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. Dlatego ważnym jest, aby aplikanci podczas praktyk opanowali tę umiejętność w jak najwyższym stopniu.</w:t>
      </w:r>
      <w:r w:rsidR="007B706A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kolei </w:t>
      </w:r>
      <w:r w:rsidR="00630C9E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 VII zjeździe (tj. </w:t>
      </w:r>
      <w:r w:rsidR="007B706A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dniu 4 listopada 2019 r.</w:t>
      </w:r>
      <w:r w:rsidR="00630C9E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7B706A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aplikanci będą pisać sprawdzian, którego przedmiotem </w:t>
      </w:r>
      <w:r w:rsidR="00630C9E" w:rsidRPr="00B749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być sporządzenie projektu postanowienia o zastosowaniu, uchyleniu lub zmianie środka zapobiegawczego</w:t>
      </w:r>
      <w:r w:rsidR="00630C9E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gramStart"/>
      <w:r w:rsidR="00630C9E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więc</w:t>
      </w:r>
      <w:proofErr w:type="gramEnd"/>
      <w:r w:rsidR="00630C9E" w:rsidRPr="00B749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wykształcenie tej umiejętności powinien być położony nacisk. </w:t>
      </w:r>
    </w:p>
    <w:p w:rsidR="00D2460D" w:rsidRPr="006E7600" w:rsidRDefault="00864211" w:rsidP="00826FF2">
      <w:pPr>
        <w:spacing w:before="720" w:after="120"/>
        <w:ind w:left="3686"/>
        <w:jc w:val="center"/>
        <w:rPr>
          <w:rFonts w:ascii="Garamond" w:eastAsia="Times New Roman" w:hAnsi="Garamond" w:cs="Times New Roman"/>
          <w:i/>
          <w:sz w:val="24"/>
          <w:szCs w:val="24"/>
          <w:lang w:eastAsia="pl-PL"/>
        </w:rPr>
      </w:pPr>
      <w:r w:rsidRPr="006E7600">
        <w:rPr>
          <w:rFonts w:ascii="Garamond" w:eastAsia="Times New Roman" w:hAnsi="Garamond" w:cs="Times New Roman"/>
          <w:i/>
          <w:sz w:val="24"/>
          <w:szCs w:val="24"/>
          <w:lang w:eastAsia="pl-PL"/>
        </w:rPr>
        <w:t>PPO Piotr Turek</w:t>
      </w:r>
      <w:r w:rsidRPr="006E7600">
        <w:rPr>
          <w:rFonts w:ascii="Garamond" w:eastAsia="Times New Roman" w:hAnsi="Garamond" w:cs="Times New Roman"/>
          <w:i/>
          <w:sz w:val="24"/>
          <w:szCs w:val="24"/>
          <w:lang w:eastAsia="pl-PL"/>
        </w:rPr>
        <w:br/>
        <w:t>główny specjalista</w:t>
      </w:r>
      <w:r w:rsidRPr="006E7600">
        <w:rPr>
          <w:rFonts w:ascii="Garamond" w:eastAsia="Times New Roman" w:hAnsi="Garamond" w:cs="Times New Roman"/>
          <w:i/>
          <w:sz w:val="24"/>
          <w:szCs w:val="24"/>
          <w:lang w:eastAsia="pl-PL"/>
        </w:rPr>
        <w:br/>
        <w:t>Dzia</w:t>
      </w:r>
      <w:r w:rsidR="006E7600">
        <w:rPr>
          <w:rFonts w:ascii="Garamond" w:eastAsia="Times New Roman" w:hAnsi="Garamond" w:cs="Times New Roman"/>
          <w:i/>
          <w:sz w:val="24"/>
          <w:szCs w:val="24"/>
          <w:lang w:eastAsia="pl-PL"/>
        </w:rPr>
        <w:t>ł</w:t>
      </w:r>
      <w:r w:rsidRPr="006E7600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 Dydaktyczny</w:t>
      </w:r>
      <w:r w:rsidRPr="006E7600">
        <w:rPr>
          <w:rFonts w:ascii="Garamond" w:eastAsia="Times New Roman" w:hAnsi="Garamond" w:cs="Times New Roman"/>
          <w:i/>
          <w:sz w:val="24"/>
          <w:szCs w:val="24"/>
          <w:lang w:eastAsia="pl-PL"/>
        </w:rPr>
        <w:br/>
        <w:t>Ośrod</w:t>
      </w:r>
      <w:r w:rsidR="006E7600">
        <w:rPr>
          <w:rFonts w:ascii="Garamond" w:eastAsia="Times New Roman" w:hAnsi="Garamond" w:cs="Times New Roman"/>
          <w:i/>
          <w:sz w:val="24"/>
          <w:szCs w:val="24"/>
          <w:lang w:eastAsia="pl-PL"/>
        </w:rPr>
        <w:t>ek</w:t>
      </w:r>
      <w:r w:rsidRPr="006E7600">
        <w:rPr>
          <w:rFonts w:ascii="Garamond" w:eastAsia="Times New Roman" w:hAnsi="Garamond" w:cs="Times New Roman"/>
          <w:i/>
          <w:sz w:val="24"/>
          <w:szCs w:val="24"/>
          <w:lang w:eastAsia="pl-PL"/>
        </w:rPr>
        <w:t xml:space="preserve"> Aplikacji Prokuratorskiej</w:t>
      </w:r>
    </w:p>
    <w:p w:rsidR="000B4076" w:rsidRPr="00B7498B" w:rsidRDefault="000B4076" w:rsidP="00EE371E">
      <w:pPr>
        <w:spacing w:before="120" w:after="120"/>
        <w:jc w:val="center"/>
      </w:pPr>
    </w:p>
    <w:sectPr w:rsidR="000B4076" w:rsidRPr="00B7498B" w:rsidSect="00F129C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EA" w:rsidRDefault="000978EA">
      <w:pPr>
        <w:spacing w:after="0" w:line="240" w:lineRule="auto"/>
      </w:pPr>
      <w:r>
        <w:separator/>
      </w:r>
    </w:p>
  </w:endnote>
  <w:endnote w:type="continuationSeparator" w:id="0">
    <w:p w:rsidR="000978EA" w:rsidRDefault="0009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396205"/>
      <w:docPartObj>
        <w:docPartGallery w:val="Page Numbers (Bottom of Page)"/>
        <w:docPartUnique/>
      </w:docPartObj>
    </w:sdtPr>
    <w:sdtEndPr/>
    <w:sdtContent>
      <w:p w:rsidR="00300812" w:rsidRDefault="003008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7E2">
          <w:rPr>
            <w:noProof/>
          </w:rPr>
          <w:t>3</w:t>
        </w:r>
        <w:r>
          <w:fldChar w:fldCharType="end"/>
        </w:r>
      </w:p>
    </w:sdtContent>
  </w:sdt>
  <w:p w:rsidR="00300812" w:rsidRDefault="003008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EA" w:rsidRDefault="000978EA">
      <w:pPr>
        <w:spacing w:after="0" w:line="240" w:lineRule="auto"/>
      </w:pPr>
      <w:r>
        <w:separator/>
      </w:r>
    </w:p>
  </w:footnote>
  <w:footnote w:type="continuationSeparator" w:id="0">
    <w:p w:rsidR="000978EA" w:rsidRDefault="0009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921" w:rsidRPr="00162921" w:rsidRDefault="00EC4C82" w:rsidP="00162921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eastAsia="Times New Roman" w:hAnsi="Century Gothic" w:cs="Shruti"/>
        <w:spacing w:val="20"/>
        <w:sz w:val="30"/>
        <w:szCs w:val="30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F3E5017" wp14:editId="14938149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2921">
      <w:rPr>
        <w:rFonts w:ascii="Century Gothic" w:eastAsia="Times New Roman" w:hAnsi="Century Gothic" w:cs="Shruti"/>
        <w:spacing w:val="20"/>
        <w:sz w:val="30"/>
        <w:szCs w:val="30"/>
        <w:lang w:eastAsia="pl-PL"/>
      </w:rPr>
      <w:t xml:space="preserve"> </w:t>
    </w:r>
  </w:p>
  <w:p w:rsidR="00162921" w:rsidRPr="00162921" w:rsidRDefault="000978EA" w:rsidP="00162921">
    <w:pPr>
      <w:tabs>
        <w:tab w:val="center" w:pos="4536"/>
        <w:tab w:val="right" w:pos="9072"/>
      </w:tabs>
      <w:spacing w:after="0" w:line="240" w:lineRule="auto"/>
      <w:ind w:right="4959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</w:p>
  <w:p w:rsidR="00162921" w:rsidRPr="00162921" w:rsidRDefault="000978EA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8"/>
        <w:szCs w:val="8"/>
        <w:lang w:eastAsia="pl-PL"/>
      </w:rPr>
    </w:pPr>
  </w:p>
  <w:p w:rsidR="00162921" w:rsidRPr="00162921" w:rsidRDefault="00EC4C82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KRAJOWA SZKOŁA</w:t>
    </w:r>
  </w:p>
  <w:p w:rsidR="00162921" w:rsidRPr="00162921" w:rsidRDefault="00EC4C82" w:rsidP="00162921">
    <w:pPr>
      <w:tabs>
        <w:tab w:val="center" w:pos="4536"/>
        <w:tab w:val="right" w:pos="9072"/>
      </w:tabs>
      <w:spacing w:after="0" w:line="240" w:lineRule="auto"/>
      <w:ind w:left="-851" w:right="5526"/>
      <w:jc w:val="center"/>
      <w:rPr>
        <w:rFonts w:ascii="Times New Roman" w:eastAsia="Times New Roman" w:hAnsi="Times New Roman"/>
        <w:b/>
        <w:sz w:val="24"/>
        <w:szCs w:val="24"/>
        <w:lang w:eastAsia="pl-PL"/>
      </w:rPr>
    </w:pPr>
    <w:r w:rsidRPr="00162921">
      <w:rPr>
        <w:rFonts w:ascii="Times New Roman" w:eastAsia="Times New Roman" w:hAnsi="Times New Roman"/>
        <w:b/>
        <w:sz w:val="24"/>
        <w:szCs w:val="24"/>
        <w:lang w:eastAsia="pl-PL"/>
      </w:rPr>
      <w:t>SĄDOWNICTWA I PROKURATURY</w:t>
    </w:r>
  </w:p>
  <w:p w:rsidR="00162921" w:rsidRDefault="000978EA">
    <w:pPr>
      <w:pStyle w:val="Nagwek"/>
    </w:pPr>
  </w:p>
  <w:p w:rsidR="00162921" w:rsidRDefault="000978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F63D4"/>
    <w:multiLevelType w:val="hybridMultilevel"/>
    <w:tmpl w:val="1C7AD0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DC1EC2"/>
    <w:multiLevelType w:val="hybridMultilevel"/>
    <w:tmpl w:val="57549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955C2"/>
    <w:multiLevelType w:val="hybridMultilevel"/>
    <w:tmpl w:val="7F009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C0A07"/>
    <w:multiLevelType w:val="hybridMultilevel"/>
    <w:tmpl w:val="A24AA24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4">
    <w:nsid w:val="6FBB2AC2"/>
    <w:multiLevelType w:val="hybridMultilevel"/>
    <w:tmpl w:val="23721CD0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5">
    <w:nsid w:val="757B482B"/>
    <w:multiLevelType w:val="hybridMultilevel"/>
    <w:tmpl w:val="19FC2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0D"/>
    <w:rsid w:val="000131DD"/>
    <w:rsid w:val="00026D27"/>
    <w:rsid w:val="000333C7"/>
    <w:rsid w:val="000453C8"/>
    <w:rsid w:val="000978EA"/>
    <w:rsid w:val="000B4076"/>
    <w:rsid w:val="0011248C"/>
    <w:rsid w:val="00247567"/>
    <w:rsid w:val="002B5BB1"/>
    <w:rsid w:val="002B7336"/>
    <w:rsid w:val="00300812"/>
    <w:rsid w:val="00301DBD"/>
    <w:rsid w:val="003342F4"/>
    <w:rsid w:val="003C3051"/>
    <w:rsid w:val="003F6D8D"/>
    <w:rsid w:val="00497C09"/>
    <w:rsid w:val="004F70B0"/>
    <w:rsid w:val="00630C9E"/>
    <w:rsid w:val="006A6A4A"/>
    <w:rsid w:val="006E12FB"/>
    <w:rsid w:val="006E7600"/>
    <w:rsid w:val="007B706A"/>
    <w:rsid w:val="00826FF2"/>
    <w:rsid w:val="00864211"/>
    <w:rsid w:val="008C47E2"/>
    <w:rsid w:val="00AF30B3"/>
    <w:rsid w:val="00B331D7"/>
    <w:rsid w:val="00B7498B"/>
    <w:rsid w:val="00BA15D8"/>
    <w:rsid w:val="00BB65DA"/>
    <w:rsid w:val="00C21B59"/>
    <w:rsid w:val="00C544AB"/>
    <w:rsid w:val="00C6575D"/>
    <w:rsid w:val="00C931F9"/>
    <w:rsid w:val="00CE3279"/>
    <w:rsid w:val="00D2460D"/>
    <w:rsid w:val="00D31558"/>
    <w:rsid w:val="00D4615C"/>
    <w:rsid w:val="00D70836"/>
    <w:rsid w:val="00D8642A"/>
    <w:rsid w:val="00DE2BB4"/>
    <w:rsid w:val="00EC4C82"/>
    <w:rsid w:val="00EE371E"/>
    <w:rsid w:val="00FB5DC3"/>
    <w:rsid w:val="00FC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60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2460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E2BB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12"/>
  </w:style>
  <w:style w:type="paragraph" w:styleId="Tekstdymka">
    <w:name w:val="Balloon Text"/>
    <w:basedOn w:val="Normalny"/>
    <w:link w:val="TekstdymkaZnak"/>
    <w:uiPriority w:val="99"/>
    <w:semiHidden/>
    <w:unhideWhenUsed/>
    <w:rsid w:val="0001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1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60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2460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E2BB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00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812"/>
  </w:style>
  <w:style w:type="paragraph" w:styleId="Tekstdymka">
    <w:name w:val="Balloon Text"/>
    <w:basedOn w:val="Normalny"/>
    <w:link w:val="TekstdymkaZnak"/>
    <w:uiPriority w:val="99"/>
    <w:semiHidden/>
    <w:unhideWhenUsed/>
    <w:rsid w:val="0001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1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cp:lastPrinted>2019-08-06T10:09:00Z</cp:lastPrinted>
  <dcterms:created xsi:type="dcterms:W3CDTF">2019-08-06T11:44:00Z</dcterms:created>
  <dcterms:modified xsi:type="dcterms:W3CDTF">2019-08-06T11:44:00Z</dcterms:modified>
</cp:coreProperties>
</file>