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D1" w:rsidRDefault="001A75D1" w:rsidP="001A75D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Kraków, 8 października 2025 r.</w:t>
      </w:r>
    </w:p>
    <w:p w:rsidR="001A75D1" w:rsidRDefault="001A75D1" w:rsidP="006301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0144" w:rsidRDefault="00630144" w:rsidP="006301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BE5">
        <w:rPr>
          <w:rFonts w:ascii="Times New Roman" w:hAnsi="Times New Roman" w:cs="Times New Roman"/>
          <w:i/>
          <w:sz w:val="24"/>
          <w:szCs w:val="24"/>
        </w:rPr>
        <w:t>Zalecenia w sprawie praktyk</w:t>
      </w:r>
      <w:r w:rsidR="00C52D61">
        <w:rPr>
          <w:rFonts w:ascii="Times New Roman" w:hAnsi="Times New Roman" w:cs="Times New Roman"/>
          <w:i/>
          <w:sz w:val="24"/>
          <w:szCs w:val="24"/>
        </w:rPr>
        <w:t>i</w:t>
      </w:r>
      <w:r w:rsidRPr="00B07BE5">
        <w:rPr>
          <w:rFonts w:ascii="Times New Roman" w:hAnsi="Times New Roman" w:cs="Times New Roman"/>
          <w:i/>
          <w:sz w:val="24"/>
          <w:szCs w:val="24"/>
        </w:rPr>
        <w:t xml:space="preserve"> odbywan</w:t>
      </w:r>
      <w:r w:rsidR="00C52D61">
        <w:rPr>
          <w:rFonts w:ascii="Times New Roman" w:hAnsi="Times New Roman" w:cs="Times New Roman"/>
          <w:i/>
          <w:sz w:val="24"/>
          <w:szCs w:val="24"/>
        </w:rPr>
        <w:t>ej</w:t>
      </w:r>
      <w:r w:rsidRPr="00B07BE5">
        <w:rPr>
          <w:rFonts w:ascii="Times New Roman" w:hAnsi="Times New Roman" w:cs="Times New Roman"/>
          <w:i/>
          <w:sz w:val="24"/>
          <w:szCs w:val="24"/>
        </w:rPr>
        <w:t xml:space="preserve"> przez aplikantów </w:t>
      </w:r>
      <w:r w:rsidR="00B6088B">
        <w:rPr>
          <w:rFonts w:ascii="Times New Roman" w:hAnsi="Times New Roman" w:cs="Times New Roman"/>
          <w:i/>
          <w:sz w:val="24"/>
          <w:szCs w:val="24"/>
        </w:rPr>
        <w:t>V</w:t>
      </w:r>
      <w:r w:rsidRPr="00B07BE5">
        <w:rPr>
          <w:rFonts w:ascii="Times New Roman" w:hAnsi="Times New Roman" w:cs="Times New Roman"/>
          <w:i/>
          <w:sz w:val="24"/>
          <w:szCs w:val="24"/>
        </w:rPr>
        <w:t xml:space="preserve"> rocznika aplikacji </w:t>
      </w:r>
      <w:bookmarkStart w:id="1" w:name="_Hlk210809232"/>
      <w:r w:rsidR="00025564">
        <w:rPr>
          <w:rFonts w:ascii="Times New Roman" w:hAnsi="Times New Roman" w:cs="Times New Roman"/>
          <w:i/>
          <w:sz w:val="24"/>
          <w:szCs w:val="24"/>
        </w:rPr>
        <w:t xml:space="preserve">uzupełniającej </w:t>
      </w:r>
      <w:bookmarkEnd w:id="1"/>
      <w:r w:rsidRPr="00B07BE5">
        <w:rPr>
          <w:rFonts w:ascii="Times New Roman" w:hAnsi="Times New Roman" w:cs="Times New Roman"/>
          <w:i/>
          <w:sz w:val="24"/>
          <w:szCs w:val="24"/>
        </w:rPr>
        <w:t xml:space="preserve">sędziowskiej po </w:t>
      </w:r>
      <w:r w:rsidR="00025564">
        <w:rPr>
          <w:rFonts w:ascii="Times New Roman" w:hAnsi="Times New Roman" w:cs="Times New Roman"/>
          <w:i/>
          <w:sz w:val="24"/>
          <w:szCs w:val="24"/>
        </w:rPr>
        <w:t>3</w:t>
      </w:r>
      <w:r w:rsidR="00B6088B">
        <w:rPr>
          <w:rFonts w:ascii="Times New Roman" w:hAnsi="Times New Roman" w:cs="Times New Roman"/>
          <w:i/>
          <w:sz w:val="24"/>
          <w:szCs w:val="24"/>
        </w:rPr>
        <w:t>1</w:t>
      </w:r>
      <w:r w:rsidR="00DD69F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i/>
          <w:sz w:val="24"/>
          <w:szCs w:val="24"/>
        </w:rPr>
        <w:t>zjeździe</w:t>
      </w:r>
    </w:p>
    <w:p w:rsidR="00B6088B" w:rsidRPr="00B07BE5" w:rsidRDefault="00B6088B" w:rsidP="006301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0144" w:rsidRPr="00B07BE5" w:rsidRDefault="00630144" w:rsidP="00630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Do</w:t>
      </w: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Patronów praktyk</w:t>
      </w: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oraz Patronów koordynatorów</w:t>
      </w:r>
    </w:p>
    <w:p w:rsidR="00630144" w:rsidRPr="00B07BE5" w:rsidRDefault="00630144" w:rsidP="001A75D1">
      <w:pPr>
        <w:spacing w:after="0" w:line="360" w:lineRule="auto"/>
        <w:ind w:left="4956" w:firstLine="5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aplikantów aplikacji</w:t>
      </w:r>
      <w:r w:rsidR="001A75D1">
        <w:rPr>
          <w:rFonts w:ascii="Times New Roman" w:hAnsi="Times New Roman" w:cs="Times New Roman"/>
          <w:b/>
          <w:sz w:val="24"/>
          <w:szCs w:val="24"/>
        </w:rPr>
        <w:br/>
        <w:t>u</w:t>
      </w:r>
      <w:r w:rsidR="001A75D1" w:rsidRPr="001A75D1">
        <w:rPr>
          <w:rFonts w:ascii="Times New Roman" w:hAnsi="Times New Roman" w:cs="Times New Roman"/>
          <w:b/>
          <w:sz w:val="24"/>
          <w:szCs w:val="24"/>
        </w:rPr>
        <w:t xml:space="preserve">zupełniającej </w:t>
      </w:r>
      <w:r w:rsidRPr="00B07BE5">
        <w:rPr>
          <w:rFonts w:ascii="Times New Roman" w:hAnsi="Times New Roman" w:cs="Times New Roman"/>
          <w:b/>
          <w:sz w:val="24"/>
          <w:szCs w:val="24"/>
        </w:rPr>
        <w:t>sędziowskiej</w:t>
      </w:r>
    </w:p>
    <w:p w:rsidR="00630144" w:rsidRPr="00191B76" w:rsidRDefault="00630144" w:rsidP="00191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88B" w:rsidRPr="00191B76" w:rsidRDefault="00B6088B" w:rsidP="00191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A0E" w:rsidRDefault="00B1062E" w:rsidP="00B106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 xml:space="preserve">Uprzejmie przedstawiam szczegółowy zakres tematyczny, który winien być przedmiotem praktyk aplikantów </w:t>
      </w:r>
      <w:r w:rsidR="001A75D1">
        <w:rPr>
          <w:rFonts w:ascii="Times New Roman" w:hAnsi="Times New Roman" w:cs="Times New Roman"/>
          <w:sz w:val="24"/>
          <w:szCs w:val="24"/>
        </w:rPr>
        <w:t>V</w:t>
      </w:r>
      <w:r w:rsidRPr="00B1062E">
        <w:rPr>
          <w:rFonts w:ascii="Times New Roman" w:hAnsi="Times New Roman" w:cs="Times New Roman"/>
          <w:sz w:val="24"/>
          <w:szCs w:val="24"/>
        </w:rPr>
        <w:t xml:space="preserve"> rocznika aplikacji uzupełniającej sędziowskiej, odbywanych </w:t>
      </w:r>
      <w:r w:rsidRPr="006A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od </w:t>
      </w:r>
      <w:r w:rsidR="001A75D1" w:rsidRPr="006A7A0E">
        <w:rPr>
          <w:rFonts w:ascii="Times New Roman" w:hAnsi="Times New Roman" w:cs="Times New Roman"/>
          <w:b/>
          <w:sz w:val="24"/>
          <w:szCs w:val="24"/>
          <w:u w:val="single"/>
        </w:rPr>
        <w:t>27.10 do 14.11.2025 r.</w:t>
      </w:r>
      <w:r w:rsidRPr="006A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w wymiarze </w:t>
      </w:r>
      <w:r w:rsidR="001A75D1" w:rsidRPr="006A7A0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roboczych</w:t>
      </w:r>
      <w:r w:rsidR="001A75D1" w:rsidRPr="006A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(jeden dzień praktyki w każdym z trzech tygodni)</w:t>
      </w:r>
      <w:r w:rsidR="001A75D1" w:rsidRPr="001A75D1">
        <w:rPr>
          <w:rFonts w:ascii="Times New Roman" w:hAnsi="Times New Roman" w:cs="Times New Roman"/>
          <w:sz w:val="24"/>
          <w:szCs w:val="24"/>
        </w:rPr>
        <w:t xml:space="preserve"> </w:t>
      </w:r>
      <w:r w:rsidRPr="00B1062E">
        <w:rPr>
          <w:rFonts w:ascii="Times New Roman" w:hAnsi="Times New Roman" w:cs="Times New Roman"/>
          <w:sz w:val="24"/>
          <w:szCs w:val="24"/>
        </w:rPr>
        <w:t>po 31</w:t>
      </w:r>
      <w:r w:rsidR="001A75D1">
        <w:rPr>
          <w:rFonts w:ascii="Times New Roman" w:hAnsi="Times New Roman" w:cs="Times New Roman"/>
          <w:sz w:val="24"/>
          <w:szCs w:val="24"/>
        </w:rPr>
        <w:t>.</w:t>
      </w:r>
      <w:r w:rsidRPr="00B1062E">
        <w:rPr>
          <w:rFonts w:ascii="Times New Roman" w:hAnsi="Times New Roman" w:cs="Times New Roman"/>
          <w:sz w:val="24"/>
          <w:szCs w:val="24"/>
        </w:rPr>
        <w:t xml:space="preserve"> zjeździe, który odbędzie się w dniach </w:t>
      </w:r>
      <w:r w:rsidR="006A7A0E" w:rsidRPr="006A7A0E">
        <w:rPr>
          <w:rFonts w:ascii="Times New Roman" w:hAnsi="Times New Roman" w:cs="Times New Roman"/>
          <w:sz w:val="24"/>
          <w:szCs w:val="24"/>
        </w:rPr>
        <w:t xml:space="preserve">25 </w:t>
      </w:r>
      <w:r w:rsidR="006A7A0E">
        <w:rPr>
          <w:rFonts w:ascii="Times New Roman" w:hAnsi="Times New Roman" w:cs="Times New Roman"/>
          <w:sz w:val="24"/>
          <w:szCs w:val="24"/>
        </w:rPr>
        <w:t>–</w:t>
      </w:r>
      <w:r w:rsidR="006A7A0E" w:rsidRPr="006A7A0E">
        <w:rPr>
          <w:rFonts w:ascii="Times New Roman" w:hAnsi="Times New Roman" w:cs="Times New Roman"/>
          <w:sz w:val="24"/>
          <w:szCs w:val="24"/>
        </w:rPr>
        <w:t xml:space="preserve"> 26</w:t>
      </w:r>
      <w:r w:rsidR="006A7A0E">
        <w:rPr>
          <w:rFonts w:ascii="Times New Roman" w:hAnsi="Times New Roman" w:cs="Times New Roman"/>
          <w:sz w:val="24"/>
          <w:szCs w:val="24"/>
        </w:rPr>
        <w:t>.10.</w:t>
      </w:r>
      <w:r w:rsidR="006A7A0E" w:rsidRPr="006A7A0E">
        <w:rPr>
          <w:rFonts w:ascii="Times New Roman" w:hAnsi="Times New Roman" w:cs="Times New Roman"/>
          <w:sz w:val="24"/>
          <w:szCs w:val="24"/>
        </w:rPr>
        <w:t>2025 r.</w:t>
      </w:r>
    </w:p>
    <w:p w:rsidR="00B1062E" w:rsidRDefault="00B1062E" w:rsidP="00B106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>Założeniem praktyki, co do zasady, jest zaznajomienie aplikantów z czynnościami</w:t>
      </w:r>
      <w:r w:rsidR="006A7A0E">
        <w:rPr>
          <w:rFonts w:ascii="Times New Roman" w:hAnsi="Times New Roman" w:cs="Times New Roman"/>
          <w:sz w:val="24"/>
          <w:szCs w:val="24"/>
        </w:rPr>
        <w:br/>
      </w:r>
      <w:r w:rsidRPr="00B1062E">
        <w:rPr>
          <w:rFonts w:ascii="Times New Roman" w:hAnsi="Times New Roman" w:cs="Times New Roman"/>
          <w:sz w:val="24"/>
          <w:szCs w:val="24"/>
        </w:rPr>
        <w:t>i metodyką pracy sędziego oraz doskonalenie umiejętności wykorzystania wiedzy teoretycznej i znajomości orzecznictwa przy sporządzaniu projektów orzeczeń, zarządzeń i pism procesowych, a także poprzez uczestniczenie w czynnościach podejmowanych przez patrona praktyki. Praktyka winna utrwalać wiedzę zdobytą przez aplikanta podczas poprzedzających ją zajęć seminaryjnych w ramach zjazdu.</w:t>
      </w:r>
    </w:p>
    <w:p w:rsidR="006239DD" w:rsidRDefault="00B1062E" w:rsidP="00B106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>Zgodnie z programem aplikacji uzupełniającej sędziowskiej, tematyka 31</w:t>
      </w:r>
      <w:r w:rsidR="006A7A0E">
        <w:rPr>
          <w:rFonts w:ascii="Times New Roman" w:hAnsi="Times New Roman" w:cs="Times New Roman"/>
          <w:sz w:val="24"/>
          <w:szCs w:val="24"/>
        </w:rPr>
        <w:t>.</w:t>
      </w:r>
      <w:r w:rsidRPr="00B1062E">
        <w:rPr>
          <w:rFonts w:ascii="Times New Roman" w:hAnsi="Times New Roman" w:cs="Times New Roman"/>
          <w:sz w:val="24"/>
          <w:szCs w:val="24"/>
        </w:rPr>
        <w:t xml:space="preserve"> zjazdu obejmuje zagadnienia dotyczące </w:t>
      </w:r>
      <w:r w:rsidRPr="006A7A0E">
        <w:rPr>
          <w:rFonts w:ascii="Times New Roman" w:hAnsi="Times New Roman" w:cs="Times New Roman"/>
          <w:sz w:val="24"/>
          <w:szCs w:val="24"/>
          <w:u w:val="single"/>
        </w:rPr>
        <w:t>prawa gospodarczego, postępowania upadłościowego</w:t>
      </w:r>
      <w:r w:rsidR="006239DD">
        <w:rPr>
          <w:rFonts w:ascii="Times New Roman" w:hAnsi="Times New Roman" w:cs="Times New Roman"/>
          <w:sz w:val="24"/>
          <w:szCs w:val="24"/>
          <w:u w:val="single"/>
        </w:rPr>
        <w:br/>
      </w:r>
      <w:r w:rsidRPr="006A7A0E">
        <w:rPr>
          <w:rFonts w:ascii="Times New Roman" w:hAnsi="Times New Roman" w:cs="Times New Roman"/>
          <w:sz w:val="24"/>
          <w:szCs w:val="24"/>
          <w:u w:val="single"/>
        </w:rPr>
        <w:t>i restrukturyzacyjnego</w:t>
      </w:r>
      <w:r w:rsidRPr="00B1062E">
        <w:rPr>
          <w:rFonts w:ascii="Times New Roman" w:hAnsi="Times New Roman" w:cs="Times New Roman"/>
          <w:sz w:val="24"/>
          <w:szCs w:val="24"/>
        </w:rPr>
        <w:t>.</w:t>
      </w:r>
    </w:p>
    <w:p w:rsidR="00B1062E" w:rsidRDefault="00B1062E" w:rsidP="00B106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>Po zakończeniu zjazdu</w:t>
      </w:r>
      <w:r w:rsidR="006A7A0E">
        <w:rPr>
          <w:rFonts w:ascii="Times New Roman" w:hAnsi="Times New Roman" w:cs="Times New Roman"/>
          <w:sz w:val="24"/>
          <w:szCs w:val="24"/>
        </w:rPr>
        <w:t>,</w:t>
      </w:r>
      <w:r w:rsidRPr="00B1062E">
        <w:rPr>
          <w:rFonts w:ascii="Times New Roman" w:hAnsi="Times New Roman" w:cs="Times New Roman"/>
          <w:sz w:val="24"/>
          <w:szCs w:val="24"/>
        </w:rPr>
        <w:t xml:space="preserve"> aplikanci mają odbyć trwającą </w:t>
      </w:r>
      <w:r w:rsidR="006A7A0E">
        <w:rPr>
          <w:rFonts w:ascii="Times New Roman" w:hAnsi="Times New Roman" w:cs="Times New Roman"/>
          <w:sz w:val="24"/>
          <w:szCs w:val="24"/>
        </w:rPr>
        <w:t>3</w:t>
      </w:r>
      <w:r w:rsidRPr="00B1062E">
        <w:rPr>
          <w:rFonts w:ascii="Times New Roman" w:hAnsi="Times New Roman" w:cs="Times New Roman"/>
          <w:sz w:val="24"/>
          <w:szCs w:val="24"/>
        </w:rPr>
        <w:t xml:space="preserve"> dni praktykę w sądzie rejonowym – wydziale gospodarczym rozpoznającym sprawy upadłościowe</w:t>
      </w:r>
      <w:r w:rsidR="006239DD">
        <w:rPr>
          <w:rFonts w:ascii="Times New Roman" w:hAnsi="Times New Roman" w:cs="Times New Roman"/>
          <w:sz w:val="24"/>
          <w:szCs w:val="24"/>
        </w:rPr>
        <w:br/>
      </w:r>
      <w:r w:rsidRPr="00B1062E">
        <w:rPr>
          <w:rFonts w:ascii="Times New Roman" w:hAnsi="Times New Roman" w:cs="Times New Roman"/>
          <w:sz w:val="24"/>
          <w:szCs w:val="24"/>
        </w:rPr>
        <w:t>i restrukturyzacyjne.</w:t>
      </w:r>
    </w:p>
    <w:p w:rsidR="006239DD" w:rsidRDefault="006239DD" w:rsidP="006239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62E" w:rsidRPr="00B1062E" w:rsidRDefault="00B1062E" w:rsidP="00B106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>W zakresie spraw będących przedmiotem zjazdu</w:t>
      </w:r>
      <w:r w:rsidR="006239DD">
        <w:rPr>
          <w:rFonts w:ascii="Times New Roman" w:hAnsi="Times New Roman" w:cs="Times New Roman"/>
          <w:sz w:val="24"/>
          <w:szCs w:val="24"/>
        </w:rPr>
        <w:t>,</w:t>
      </w:r>
      <w:r w:rsidRPr="00B1062E">
        <w:rPr>
          <w:rFonts w:ascii="Times New Roman" w:hAnsi="Times New Roman" w:cs="Times New Roman"/>
          <w:sz w:val="24"/>
          <w:szCs w:val="24"/>
        </w:rPr>
        <w:t xml:space="preserve"> patron praktyki oraz patron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62E">
        <w:rPr>
          <w:rFonts w:ascii="Times New Roman" w:hAnsi="Times New Roman" w:cs="Times New Roman"/>
          <w:sz w:val="24"/>
          <w:szCs w:val="24"/>
        </w:rPr>
        <w:t>koordynator powinni przy pracy z aplikantami poświęcić szczególną uwagę zagadnieniom</w:t>
      </w:r>
      <w:r w:rsidR="006239DD">
        <w:rPr>
          <w:rFonts w:ascii="Times New Roman" w:hAnsi="Times New Roman" w:cs="Times New Roman"/>
          <w:sz w:val="24"/>
          <w:szCs w:val="24"/>
        </w:rPr>
        <w:br/>
      </w:r>
      <w:r w:rsidRPr="00B1062E">
        <w:rPr>
          <w:rFonts w:ascii="Times New Roman" w:hAnsi="Times New Roman" w:cs="Times New Roman"/>
          <w:sz w:val="24"/>
          <w:szCs w:val="24"/>
        </w:rPr>
        <w:t xml:space="preserve">z zakresu </w:t>
      </w:r>
      <w:r w:rsidRPr="006239DD">
        <w:rPr>
          <w:rFonts w:ascii="Times New Roman" w:hAnsi="Times New Roman" w:cs="Times New Roman"/>
          <w:b/>
          <w:sz w:val="24"/>
          <w:szCs w:val="24"/>
        </w:rPr>
        <w:t>prawa materialnego</w:t>
      </w:r>
      <w:r w:rsidRPr="00B1062E">
        <w:rPr>
          <w:rFonts w:ascii="Times New Roman" w:hAnsi="Times New Roman" w:cs="Times New Roman"/>
          <w:sz w:val="24"/>
          <w:szCs w:val="24"/>
        </w:rPr>
        <w:t>, w skład których wchodzą: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lastRenderedPageBreak/>
        <w:t>zdolność upadłościowa i restrukturyzacyjna;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przesłanki ogłoszenia upadłości (gospodarczej i „konsumenckiej”); pojęcie niewypłacalności;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skutki prawne przekroczenia terminu do złożenia wniosku o ogłoszenie upadłości;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status prawny uczestników postępowań upadłościowych (upadłego i jego wierzycieli) oraz syndyka masy upadłości;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masa upadłości i jej skład; wyłączenie z masy upadłości;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sposoby likwidacji masy upadłości; podział funduszów masy upadłości;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warunki odmowy ustalenia planu spłaty, ustalenia planu spłaty zobowiązań, umorzenia zobowiązań bez ustalenia planu spłaty i warunkowego umorzenia zobowiązań bez ustalenia planu spłaty zobowiązań;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przesłanki otwarcia poszczególnych rodzajów postępowań restrukturyzacyjnych;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status prawny uczestników postępowań restrukturyzacyjnych (dłużnika i jego wierzycieli) oraz nadzorcy sądowego i zarządcy w postępowaniach restrukturyzacyjnych;</w:t>
      </w:r>
    </w:p>
    <w:p w:rsidR="00B1062E" w:rsidRPr="006239DD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skutki prawne zatwierdzenia układu;</w:t>
      </w:r>
    </w:p>
    <w:p w:rsidR="00B1062E" w:rsidRDefault="00B1062E" w:rsidP="006239D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upadłość transgraniczna.</w:t>
      </w:r>
    </w:p>
    <w:p w:rsidR="006239DD" w:rsidRPr="006239DD" w:rsidRDefault="006239DD" w:rsidP="00623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F3" w:rsidRPr="00636CF3" w:rsidRDefault="00B1062E" w:rsidP="00636C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62E">
        <w:rPr>
          <w:rFonts w:ascii="Times New Roman" w:hAnsi="Times New Roman" w:cs="Times New Roman"/>
          <w:sz w:val="24"/>
          <w:szCs w:val="24"/>
        </w:rPr>
        <w:t>Nadto</w:t>
      </w:r>
      <w:r w:rsidR="006239DD">
        <w:rPr>
          <w:rFonts w:ascii="Times New Roman" w:hAnsi="Times New Roman" w:cs="Times New Roman"/>
          <w:sz w:val="24"/>
          <w:szCs w:val="24"/>
        </w:rPr>
        <w:t>,</w:t>
      </w:r>
      <w:r w:rsidRPr="00B1062E">
        <w:rPr>
          <w:rFonts w:ascii="Times New Roman" w:hAnsi="Times New Roman" w:cs="Times New Roman"/>
          <w:sz w:val="24"/>
          <w:szCs w:val="24"/>
        </w:rPr>
        <w:t xml:space="preserve"> patron praktyki oraz patron koordynator powinni zapewnić, aby w toku praktyki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CF3" w:rsidRPr="00636CF3">
        <w:rPr>
          <w:rFonts w:ascii="Times New Roman" w:hAnsi="Times New Roman" w:cs="Times New Roman"/>
          <w:sz w:val="24"/>
          <w:szCs w:val="24"/>
        </w:rPr>
        <w:t xml:space="preserve">aplikanci zapoznali się z zagadnieniami z zakresu </w:t>
      </w:r>
      <w:r w:rsidR="00636CF3" w:rsidRPr="006239DD">
        <w:rPr>
          <w:rFonts w:ascii="Times New Roman" w:hAnsi="Times New Roman" w:cs="Times New Roman"/>
          <w:b/>
          <w:sz w:val="24"/>
          <w:szCs w:val="24"/>
        </w:rPr>
        <w:t>prawa procesowego</w:t>
      </w:r>
      <w:r w:rsidR="00636CF3" w:rsidRPr="00636CF3">
        <w:rPr>
          <w:rFonts w:ascii="Times New Roman" w:hAnsi="Times New Roman" w:cs="Times New Roman"/>
          <w:sz w:val="24"/>
          <w:szCs w:val="24"/>
        </w:rPr>
        <w:t>, w skład których</w:t>
      </w:r>
      <w:r w:rsidR="00636CF3">
        <w:rPr>
          <w:rFonts w:ascii="Times New Roman" w:hAnsi="Times New Roman" w:cs="Times New Roman"/>
          <w:sz w:val="24"/>
          <w:szCs w:val="24"/>
        </w:rPr>
        <w:t xml:space="preserve"> </w:t>
      </w:r>
      <w:r w:rsidR="00636CF3" w:rsidRPr="00636CF3">
        <w:rPr>
          <w:rFonts w:ascii="Times New Roman" w:hAnsi="Times New Roman" w:cs="Times New Roman"/>
          <w:sz w:val="24"/>
          <w:szCs w:val="24"/>
        </w:rPr>
        <w:t>wchodzą:</w:t>
      </w:r>
    </w:p>
    <w:p w:rsidR="00636CF3" w:rsidRPr="006239DD" w:rsidRDefault="00636CF3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legitymacja do złożenia wniosku o ogłoszenie upadłości oraz wniosku o wszczęcie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postępowania restrukturyzacyjnego; wymogi formalne i fiskalne wniosków; zbieg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wniosków; właściwość sądu upadłościowego i restrukturyzacyjnego;</w:t>
      </w:r>
    </w:p>
    <w:p w:rsidR="00636CF3" w:rsidRPr="006239DD" w:rsidRDefault="00636CF3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przebieg postępowania w przedmiocie ogłoszenia upadłości (gospodarczej</w:t>
      </w:r>
      <w:r w:rsidR="006239DD">
        <w:rPr>
          <w:rFonts w:ascii="Times New Roman" w:hAnsi="Times New Roman" w:cs="Times New Roman"/>
          <w:sz w:val="24"/>
          <w:szCs w:val="24"/>
        </w:rPr>
        <w:br/>
      </w:r>
      <w:r w:rsidRPr="006239DD">
        <w:rPr>
          <w:rFonts w:ascii="Times New Roman" w:hAnsi="Times New Roman" w:cs="Times New Roman"/>
          <w:sz w:val="24"/>
          <w:szCs w:val="24"/>
        </w:rPr>
        <w:t>i „konsumenckiej”) oraz w przedmiocie otwarcia postępowań restrukturyzacyjnych;</w:t>
      </w:r>
    </w:p>
    <w:p w:rsidR="00636CF3" w:rsidRPr="006239DD" w:rsidRDefault="00636CF3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przebieg postępowań upadłościowych prowadzonych wobec przedsiębiorców oraz osób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fizycznych nieprowadzących działalności gospodarczej; formy zakończenia tych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postępowań;</w:t>
      </w:r>
    </w:p>
    <w:p w:rsidR="00B1062E" w:rsidRPr="006239DD" w:rsidRDefault="00636CF3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przebieg poszczególnych postępowań restrukturyzacyjnych i formy ich zakończenia;</w:t>
      </w:r>
    </w:p>
    <w:p w:rsidR="00437E4E" w:rsidRPr="006239DD" w:rsidRDefault="00437E4E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kompetencje i wzajemne relacje między organami postępowań upadłościowych</w:t>
      </w:r>
      <w:r w:rsidR="006239DD">
        <w:rPr>
          <w:rFonts w:ascii="Times New Roman" w:hAnsi="Times New Roman" w:cs="Times New Roman"/>
          <w:sz w:val="24"/>
          <w:szCs w:val="24"/>
        </w:rPr>
        <w:br/>
      </w:r>
      <w:r w:rsidRPr="006239DD">
        <w:rPr>
          <w:rFonts w:ascii="Times New Roman" w:hAnsi="Times New Roman" w:cs="Times New Roman"/>
          <w:sz w:val="24"/>
          <w:szCs w:val="24"/>
        </w:rPr>
        <w:t>i postępowań restrukturyzacyjnych: sądu upadłościowego (restrukturyzacyjnego)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działającego jako sąd pierwszej instancji i sąd drugiej instancji, sędziego komisarza,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lastRenderedPageBreak/>
        <w:t>sędziego wyznaczonego, doradcy restrukturyzacyjnego w roli syndyka, nadzorcy lub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</w:t>
      </w:r>
      <w:r w:rsidRPr="006239DD">
        <w:rPr>
          <w:rFonts w:ascii="Times New Roman" w:hAnsi="Times New Roman" w:cs="Times New Roman"/>
          <w:sz w:val="24"/>
          <w:szCs w:val="24"/>
        </w:rPr>
        <w:t>zarządcy, rad</w:t>
      </w:r>
      <w:r w:rsidR="006239DD">
        <w:rPr>
          <w:rFonts w:ascii="Times New Roman" w:hAnsi="Times New Roman" w:cs="Times New Roman"/>
          <w:sz w:val="24"/>
          <w:szCs w:val="24"/>
        </w:rPr>
        <w:t>y</w:t>
      </w:r>
      <w:r w:rsidRPr="006239DD">
        <w:rPr>
          <w:rFonts w:ascii="Times New Roman" w:hAnsi="Times New Roman" w:cs="Times New Roman"/>
          <w:sz w:val="24"/>
          <w:szCs w:val="24"/>
        </w:rPr>
        <w:t xml:space="preserve"> wierzycieli i zgromadzenia wierzycieli;</w:t>
      </w:r>
    </w:p>
    <w:p w:rsidR="00437E4E" w:rsidRPr="006239DD" w:rsidRDefault="00437E4E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wpływ ogłoszenia upadłości i otwarcia poszczególnych postępowań restrukturyzacyjnych</w:t>
      </w:r>
      <w:r w:rsidR="006239DD" w:rsidRPr="006239DD">
        <w:rPr>
          <w:rFonts w:ascii="Times New Roman" w:hAnsi="Times New Roman" w:cs="Times New Roman"/>
          <w:sz w:val="24"/>
          <w:szCs w:val="24"/>
        </w:rPr>
        <w:t xml:space="preserve"> n</w:t>
      </w:r>
      <w:r w:rsidRPr="006239DD">
        <w:rPr>
          <w:rFonts w:ascii="Times New Roman" w:hAnsi="Times New Roman" w:cs="Times New Roman"/>
          <w:sz w:val="24"/>
          <w:szCs w:val="24"/>
        </w:rPr>
        <w:t>a inne postępowania sądowe i postępowanie egzekucyjne</w:t>
      </w:r>
      <w:r w:rsidR="006239DD" w:rsidRPr="006239DD">
        <w:rPr>
          <w:rFonts w:ascii="Times New Roman" w:hAnsi="Times New Roman" w:cs="Times New Roman"/>
          <w:sz w:val="24"/>
          <w:szCs w:val="24"/>
        </w:rPr>
        <w:t>;</w:t>
      </w:r>
    </w:p>
    <w:p w:rsidR="00437E4E" w:rsidRPr="006239DD" w:rsidRDefault="00437E4E" w:rsidP="006239D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DD">
        <w:rPr>
          <w:rFonts w:ascii="Times New Roman" w:hAnsi="Times New Roman" w:cs="Times New Roman"/>
          <w:sz w:val="24"/>
          <w:szCs w:val="24"/>
        </w:rPr>
        <w:t>międzynarodowe postępowanie upadłościowe.</w:t>
      </w:r>
    </w:p>
    <w:p w:rsidR="006239DD" w:rsidRPr="00437E4E" w:rsidRDefault="006239DD" w:rsidP="006239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E4E" w:rsidRDefault="00437E4E" w:rsidP="00D8390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E4E">
        <w:rPr>
          <w:rFonts w:ascii="Times New Roman" w:hAnsi="Times New Roman" w:cs="Times New Roman"/>
          <w:sz w:val="24"/>
          <w:szCs w:val="24"/>
        </w:rPr>
        <w:t>Zaleca się, aby w trakcie praktyki aplikanci zapoznawali się z konkretnymi sprawami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upadłościowymi i restrukturyzacyjnymi oraz aby (przy uwzględnieniu czasu trwania praktyki)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zlecano im sporządzanie możliwie jak największej ilości projektów wydawanych w tego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rodzaju sprawach orzeczeń. Aplikanci powinni nabyć umiejętność prawidłowego redagowania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postanowień wydawanych w toku postępowań upadłościowych i restrukturyzacyjnych, ich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uzasadniania</w:t>
      </w:r>
      <w:r w:rsidR="00EC7D43">
        <w:rPr>
          <w:rFonts w:ascii="Times New Roman" w:hAnsi="Times New Roman" w:cs="Times New Roman"/>
          <w:sz w:val="24"/>
          <w:szCs w:val="24"/>
        </w:rPr>
        <w:t>,</w:t>
      </w:r>
      <w:r w:rsidRPr="00437E4E">
        <w:rPr>
          <w:rFonts w:ascii="Times New Roman" w:hAnsi="Times New Roman" w:cs="Times New Roman"/>
          <w:sz w:val="24"/>
          <w:szCs w:val="24"/>
        </w:rPr>
        <w:t xml:space="preserve"> oraz przygotowania zarządzeń wykonawczych - z uwzględnieniem kompetencji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sądu upadłościowego (restrukturyzacyjnego), sędziego komisarza (sędziego wyznaczonego),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Pr="00437E4E">
        <w:rPr>
          <w:rFonts w:ascii="Times New Roman" w:hAnsi="Times New Roman" w:cs="Times New Roman"/>
          <w:sz w:val="24"/>
          <w:szCs w:val="24"/>
        </w:rPr>
        <w:t>składu orzekającego</w:t>
      </w:r>
      <w:r w:rsidR="00EC7D43">
        <w:rPr>
          <w:rFonts w:ascii="Times New Roman" w:hAnsi="Times New Roman" w:cs="Times New Roman"/>
          <w:sz w:val="24"/>
          <w:szCs w:val="24"/>
        </w:rPr>
        <w:t>,</w:t>
      </w:r>
      <w:r w:rsidRPr="00437E4E">
        <w:rPr>
          <w:rFonts w:ascii="Times New Roman" w:hAnsi="Times New Roman" w:cs="Times New Roman"/>
          <w:sz w:val="24"/>
          <w:szCs w:val="24"/>
        </w:rPr>
        <w:t xml:space="preserve"> oraz przysługujących środków odwoławczych</w:t>
      </w:r>
      <w:r w:rsidR="001A75D1">
        <w:rPr>
          <w:rFonts w:ascii="Times New Roman" w:hAnsi="Times New Roman" w:cs="Times New Roman"/>
          <w:sz w:val="24"/>
          <w:szCs w:val="24"/>
        </w:rPr>
        <w:t>.</w:t>
      </w:r>
    </w:p>
    <w:p w:rsidR="001A75D1" w:rsidRDefault="001A75D1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5D1" w:rsidRPr="003516B2" w:rsidRDefault="001A75D1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6B2">
        <w:rPr>
          <w:rFonts w:ascii="Times New Roman" w:hAnsi="Times New Roman" w:cs="Times New Roman"/>
          <w:b/>
          <w:sz w:val="24"/>
          <w:szCs w:val="24"/>
          <w:u w:val="single"/>
        </w:rPr>
        <w:t>I) Czynności, które powinny zostać zlecone aplikantowi w trakcie praktyki (czynności</w:t>
      </w:r>
      <w:r w:rsidR="003516B2" w:rsidRPr="003516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516B2">
        <w:rPr>
          <w:rFonts w:ascii="Times New Roman" w:hAnsi="Times New Roman" w:cs="Times New Roman"/>
          <w:b/>
          <w:sz w:val="24"/>
          <w:szCs w:val="24"/>
          <w:u w:val="single"/>
        </w:rPr>
        <w:t>obowiązkowe):</w:t>
      </w:r>
    </w:p>
    <w:p w:rsidR="001A75D1" w:rsidRPr="003516B2" w:rsidRDefault="001A75D1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B2">
        <w:rPr>
          <w:rFonts w:ascii="Times New Roman" w:hAnsi="Times New Roman" w:cs="Times New Roman"/>
          <w:b/>
          <w:sz w:val="24"/>
          <w:szCs w:val="24"/>
        </w:rPr>
        <w:t>sporządzenie projektu zarządzenia bądź orzeczenia wraz z uzasadnieniem w co</w:t>
      </w:r>
      <w:r w:rsidR="003516B2" w:rsidRPr="00351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6B2">
        <w:rPr>
          <w:rFonts w:ascii="Times New Roman" w:hAnsi="Times New Roman" w:cs="Times New Roman"/>
          <w:b/>
          <w:sz w:val="24"/>
          <w:szCs w:val="24"/>
        </w:rPr>
        <w:t>najmniej 1 (w miarę możliwości zaleca się sporządzenie większej liczby projektów) z niżej</w:t>
      </w:r>
      <w:r w:rsidR="003516B2" w:rsidRPr="00351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6B2">
        <w:rPr>
          <w:rFonts w:ascii="Times New Roman" w:hAnsi="Times New Roman" w:cs="Times New Roman"/>
          <w:b/>
          <w:sz w:val="24"/>
          <w:szCs w:val="24"/>
        </w:rPr>
        <w:t>wymienionych kategorii spraw dotyczących:</w:t>
      </w:r>
    </w:p>
    <w:p w:rsidR="00EC7D43" w:rsidRDefault="00EC7D43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3">
        <w:rPr>
          <w:rFonts w:ascii="Times New Roman" w:hAnsi="Times New Roman" w:cs="Times New Roman"/>
          <w:sz w:val="24"/>
          <w:szCs w:val="24"/>
        </w:rPr>
        <w:t>wniosku o ogłoszenie upadłości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5D1" w:rsidRPr="00976D32" w:rsidRDefault="001A75D1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32">
        <w:rPr>
          <w:rFonts w:ascii="Times New Roman" w:hAnsi="Times New Roman" w:cs="Times New Roman"/>
          <w:sz w:val="24"/>
          <w:szCs w:val="24"/>
        </w:rPr>
        <w:t>wniosku o wyłączenie z masy upadłości;</w:t>
      </w:r>
    </w:p>
    <w:p w:rsidR="001A75D1" w:rsidRPr="00976D32" w:rsidRDefault="001A75D1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32">
        <w:rPr>
          <w:rFonts w:ascii="Times New Roman" w:hAnsi="Times New Roman" w:cs="Times New Roman"/>
          <w:sz w:val="24"/>
          <w:szCs w:val="24"/>
        </w:rPr>
        <w:t>zatwierdzenia sprawozdania syndyka;</w:t>
      </w:r>
    </w:p>
    <w:p w:rsidR="001A75D1" w:rsidRPr="00976D32" w:rsidRDefault="001A75D1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32">
        <w:rPr>
          <w:rFonts w:ascii="Times New Roman" w:hAnsi="Times New Roman" w:cs="Times New Roman"/>
          <w:sz w:val="24"/>
          <w:szCs w:val="24"/>
        </w:rPr>
        <w:t>sprzeciwu co do listy wierzytelności;</w:t>
      </w:r>
    </w:p>
    <w:p w:rsidR="001A75D1" w:rsidRPr="00976D32" w:rsidRDefault="001A75D1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32">
        <w:rPr>
          <w:rFonts w:ascii="Times New Roman" w:hAnsi="Times New Roman" w:cs="Times New Roman"/>
          <w:sz w:val="24"/>
          <w:szCs w:val="24"/>
        </w:rPr>
        <w:t>zarzutów przeciwko planowi podziału funduszów masy upadłości;</w:t>
      </w:r>
    </w:p>
    <w:p w:rsidR="001A75D1" w:rsidRPr="00EC7D43" w:rsidRDefault="00EC7D43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3">
        <w:rPr>
          <w:rFonts w:ascii="Times New Roman" w:hAnsi="Times New Roman" w:cs="Times New Roman"/>
          <w:sz w:val="24"/>
          <w:szCs w:val="24"/>
        </w:rPr>
        <w:t xml:space="preserve">wniosku o </w:t>
      </w:r>
      <w:r w:rsidR="001A75D1" w:rsidRPr="00EC7D43">
        <w:rPr>
          <w:rFonts w:ascii="Times New Roman" w:hAnsi="Times New Roman" w:cs="Times New Roman"/>
          <w:sz w:val="24"/>
          <w:szCs w:val="24"/>
        </w:rPr>
        <w:t xml:space="preserve">zatwierdzenie warunków sprzedaży </w:t>
      </w:r>
      <w:r w:rsidRPr="00EC7D43">
        <w:rPr>
          <w:rFonts w:ascii="Times New Roman" w:hAnsi="Times New Roman" w:cs="Times New Roman"/>
          <w:sz w:val="24"/>
          <w:szCs w:val="24"/>
        </w:rPr>
        <w:t xml:space="preserve">przedsiębiorstwa dłużnika </w:t>
      </w:r>
      <w:r w:rsidR="00740DA7">
        <w:rPr>
          <w:rFonts w:ascii="Times New Roman" w:hAnsi="Times New Roman" w:cs="Times New Roman"/>
          <w:sz w:val="24"/>
          <w:szCs w:val="24"/>
        </w:rPr>
        <w:t xml:space="preserve">w ramach </w:t>
      </w:r>
      <w:r w:rsidR="001A75D1" w:rsidRPr="00EC7D43">
        <w:rPr>
          <w:rFonts w:ascii="Times New Roman" w:hAnsi="Times New Roman" w:cs="Times New Roman"/>
          <w:sz w:val="24"/>
          <w:szCs w:val="24"/>
        </w:rPr>
        <w:t>przygotowanej likwidacji;</w:t>
      </w:r>
    </w:p>
    <w:p w:rsidR="001A75D1" w:rsidRPr="00976D32" w:rsidRDefault="001A75D1" w:rsidP="00976D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D32">
        <w:rPr>
          <w:rFonts w:ascii="Times New Roman" w:hAnsi="Times New Roman" w:cs="Times New Roman"/>
          <w:sz w:val="24"/>
          <w:szCs w:val="24"/>
        </w:rPr>
        <w:t>stwierdzenia zakończenia postępowania upadłościowego.</w:t>
      </w:r>
    </w:p>
    <w:p w:rsidR="003516B2" w:rsidRPr="001A75D1" w:rsidRDefault="003516B2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5D1" w:rsidRPr="001A75D1" w:rsidRDefault="001A75D1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6B2">
        <w:rPr>
          <w:rFonts w:ascii="Times New Roman" w:hAnsi="Times New Roman" w:cs="Times New Roman"/>
          <w:b/>
          <w:sz w:val="24"/>
          <w:szCs w:val="24"/>
        </w:rPr>
        <w:t>II)</w:t>
      </w:r>
      <w:r w:rsidRPr="001A75D1">
        <w:rPr>
          <w:rFonts w:ascii="Times New Roman" w:hAnsi="Times New Roman" w:cs="Times New Roman"/>
          <w:sz w:val="24"/>
          <w:szCs w:val="24"/>
        </w:rPr>
        <w:t xml:space="preserve"> </w:t>
      </w:r>
      <w:r w:rsidRPr="003516B2">
        <w:rPr>
          <w:rFonts w:ascii="Times New Roman" w:hAnsi="Times New Roman" w:cs="Times New Roman"/>
          <w:b/>
          <w:sz w:val="24"/>
          <w:szCs w:val="24"/>
        </w:rPr>
        <w:t>Dodatkowo zaleca się powierzenie aplikantowi czynności obejmujących sporządzenie projektów zarządzeń bądź orzeczeń wraz z uzasadnieniem w sprawach</w:t>
      </w:r>
      <w:r w:rsidR="00351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6B2">
        <w:rPr>
          <w:rFonts w:ascii="Times New Roman" w:hAnsi="Times New Roman" w:cs="Times New Roman"/>
          <w:b/>
          <w:sz w:val="24"/>
          <w:szCs w:val="24"/>
        </w:rPr>
        <w:t>dotyczących:</w:t>
      </w:r>
    </w:p>
    <w:p w:rsidR="001A75D1" w:rsidRPr="00EC7D43" w:rsidRDefault="001A75D1" w:rsidP="00EC7D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3">
        <w:rPr>
          <w:rFonts w:ascii="Times New Roman" w:hAnsi="Times New Roman" w:cs="Times New Roman"/>
          <w:sz w:val="24"/>
          <w:szCs w:val="24"/>
        </w:rPr>
        <w:t>wniosku o umorzenie zobowiązań bez ustalenia planu spłaty;</w:t>
      </w:r>
    </w:p>
    <w:p w:rsidR="001A75D1" w:rsidRPr="00EC7D43" w:rsidRDefault="001A75D1" w:rsidP="00EC7D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3">
        <w:rPr>
          <w:rFonts w:ascii="Times New Roman" w:hAnsi="Times New Roman" w:cs="Times New Roman"/>
          <w:sz w:val="24"/>
          <w:szCs w:val="24"/>
        </w:rPr>
        <w:t>wniosku o ustalenie planu spłaty;</w:t>
      </w:r>
    </w:p>
    <w:p w:rsidR="001A75D1" w:rsidRDefault="001A75D1" w:rsidP="00EC7D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3">
        <w:rPr>
          <w:rFonts w:ascii="Times New Roman" w:hAnsi="Times New Roman" w:cs="Times New Roman"/>
          <w:sz w:val="24"/>
          <w:szCs w:val="24"/>
        </w:rPr>
        <w:lastRenderedPageBreak/>
        <w:t>rozpoznania zażalenia na postanowienie sędziego komisarza albo skargi na</w:t>
      </w:r>
      <w:r w:rsidR="00976D32" w:rsidRPr="00EC7D43">
        <w:rPr>
          <w:rFonts w:ascii="Times New Roman" w:hAnsi="Times New Roman" w:cs="Times New Roman"/>
          <w:sz w:val="24"/>
          <w:szCs w:val="24"/>
        </w:rPr>
        <w:t xml:space="preserve"> </w:t>
      </w:r>
      <w:r w:rsidRPr="00EC7D43">
        <w:rPr>
          <w:rFonts w:ascii="Times New Roman" w:hAnsi="Times New Roman" w:cs="Times New Roman"/>
          <w:sz w:val="24"/>
          <w:szCs w:val="24"/>
        </w:rPr>
        <w:t>postanowienie sędziego komisarza będącego referendarzem sądowym.</w:t>
      </w:r>
    </w:p>
    <w:p w:rsidR="000D356D" w:rsidRPr="000D356D" w:rsidRDefault="000D356D" w:rsidP="000D35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D1" w:rsidRPr="001A75D1" w:rsidRDefault="001A75D1" w:rsidP="00976D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5D1">
        <w:rPr>
          <w:rFonts w:ascii="Times New Roman" w:hAnsi="Times New Roman" w:cs="Times New Roman"/>
          <w:sz w:val="24"/>
          <w:szCs w:val="24"/>
        </w:rPr>
        <w:t>Ponadto uprzejmie przypominam, że przed rozpoczęciem praktyki patron praktyki ma</w:t>
      </w:r>
      <w:r w:rsidR="00976D32">
        <w:rPr>
          <w:rFonts w:ascii="Times New Roman" w:hAnsi="Times New Roman" w:cs="Times New Roman"/>
          <w:sz w:val="24"/>
          <w:szCs w:val="24"/>
        </w:rPr>
        <w:t xml:space="preserve"> </w:t>
      </w:r>
      <w:r w:rsidRPr="001A75D1">
        <w:rPr>
          <w:rFonts w:ascii="Times New Roman" w:hAnsi="Times New Roman" w:cs="Times New Roman"/>
          <w:sz w:val="24"/>
          <w:szCs w:val="24"/>
        </w:rPr>
        <w:t>obowiązek omówić z aplikantem cel, szczegółowy zakres tematyczny praktyki i jej planowany</w:t>
      </w:r>
      <w:r w:rsidR="00976D32">
        <w:rPr>
          <w:rFonts w:ascii="Times New Roman" w:hAnsi="Times New Roman" w:cs="Times New Roman"/>
          <w:sz w:val="24"/>
          <w:szCs w:val="24"/>
        </w:rPr>
        <w:t xml:space="preserve"> </w:t>
      </w:r>
      <w:r w:rsidRPr="001A75D1">
        <w:rPr>
          <w:rFonts w:ascii="Times New Roman" w:hAnsi="Times New Roman" w:cs="Times New Roman"/>
          <w:sz w:val="24"/>
          <w:szCs w:val="24"/>
        </w:rPr>
        <w:t>przebieg oraz zapoznać aplikanta ze swoim stanowiskiem pracy i strukturą organizacyjną</w:t>
      </w:r>
      <w:r w:rsidR="00976D32">
        <w:rPr>
          <w:rFonts w:ascii="Times New Roman" w:hAnsi="Times New Roman" w:cs="Times New Roman"/>
          <w:sz w:val="24"/>
          <w:szCs w:val="24"/>
        </w:rPr>
        <w:t xml:space="preserve"> </w:t>
      </w:r>
      <w:r w:rsidRPr="001A75D1">
        <w:rPr>
          <w:rFonts w:ascii="Times New Roman" w:hAnsi="Times New Roman" w:cs="Times New Roman"/>
          <w:sz w:val="24"/>
          <w:szCs w:val="24"/>
        </w:rPr>
        <w:t>jednostki, w której jest zatrudniony.</w:t>
      </w:r>
    </w:p>
    <w:p w:rsidR="001A75D1" w:rsidRPr="00976D32" w:rsidRDefault="001A75D1" w:rsidP="00976D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D32">
        <w:rPr>
          <w:rFonts w:ascii="Times New Roman" w:hAnsi="Times New Roman" w:cs="Times New Roman"/>
          <w:b/>
          <w:sz w:val="24"/>
          <w:szCs w:val="24"/>
        </w:rPr>
        <w:t>Po wykonaniu przez aplikanta czynności należy szczegółowo omówić z nim wyniki</w:t>
      </w:r>
      <w:r w:rsidR="00976D32" w:rsidRPr="00976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D32">
        <w:rPr>
          <w:rFonts w:ascii="Times New Roman" w:hAnsi="Times New Roman" w:cs="Times New Roman"/>
          <w:b/>
          <w:sz w:val="24"/>
          <w:szCs w:val="24"/>
        </w:rPr>
        <w:t>jego pracy.</w:t>
      </w:r>
    </w:p>
    <w:p w:rsidR="001A75D1" w:rsidRDefault="001A75D1" w:rsidP="001A75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62E" w:rsidRPr="00B1062E" w:rsidRDefault="00B1062E" w:rsidP="00B106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585C24" w:rsidRDefault="00630144" w:rsidP="002735F1">
      <w:pPr>
        <w:spacing w:after="0" w:line="360" w:lineRule="auto"/>
        <w:ind w:left="3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C2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Dydaktycznego OAS</w:t>
      </w:r>
    </w:p>
    <w:p w:rsidR="00630144" w:rsidRPr="00585C24" w:rsidRDefault="00630144" w:rsidP="002735F1">
      <w:pPr>
        <w:spacing w:after="0" w:line="360" w:lineRule="auto"/>
        <w:ind w:left="353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144" w:rsidRPr="00585C24" w:rsidRDefault="002735F1" w:rsidP="002735F1">
      <w:pPr>
        <w:spacing w:after="0" w:line="360" w:lineRule="auto"/>
        <w:ind w:left="353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Nagaduś</w:t>
      </w:r>
    </w:p>
    <w:p w:rsidR="00630144" w:rsidRPr="002735F1" w:rsidRDefault="00630144" w:rsidP="002735F1">
      <w:pPr>
        <w:spacing w:after="0" w:line="360" w:lineRule="auto"/>
        <w:ind w:left="3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C24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</w:t>
      </w:r>
    </w:p>
    <w:sectPr w:rsidR="00630144" w:rsidRPr="002735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D8" w:rsidRDefault="007D25D8">
      <w:pPr>
        <w:spacing w:after="0" w:line="240" w:lineRule="auto"/>
      </w:pPr>
      <w:r>
        <w:separator/>
      </w:r>
    </w:p>
  </w:endnote>
  <w:endnote w:type="continuationSeparator" w:id="0">
    <w:p w:rsidR="007D25D8" w:rsidRDefault="007D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166926" w:rsidP="007A4A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38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D8" w:rsidRDefault="007D25D8">
      <w:pPr>
        <w:spacing w:after="0" w:line="240" w:lineRule="auto"/>
      </w:pPr>
      <w:r>
        <w:separator/>
      </w:r>
    </w:p>
  </w:footnote>
  <w:footnote w:type="continuationSeparator" w:id="0">
    <w:p w:rsidR="007D25D8" w:rsidRDefault="007D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D1"/>
    <w:multiLevelType w:val="hybridMultilevel"/>
    <w:tmpl w:val="3DF2FAC8"/>
    <w:lvl w:ilvl="0" w:tplc="77A0A36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A4B6A"/>
    <w:multiLevelType w:val="hybridMultilevel"/>
    <w:tmpl w:val="BAE2E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A21"/>
    <w:multiLevelType w:val="hybridMultilevel"/>
    <w:tmpl w:val="208AC52E"/>
    <w:lvl w:ilvl="0" w:tplc="221CFC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452BD"/>
    <w:multiLevelType w:val="hybridMultilevel"/>
    <w:tmpl w:val="3F9E015C"/>
    <w:lvl w:ilvl="0" w:tplc="A41414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D15F4"/>
    <w:multiLevelType w:val="multilevel"/>
    <w:tmpl w:val="BBF8B986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8A026A"/>
    <w:multiLevelType w:val="hybridMultilevel"/>
    <w:tmpl w:val="2496D05E"/>
    <w:lvl w:ilvl="0" w:tplc="57105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50C71"/>
    <w:multiLevelType w:val="hybridMultilevel"/>
    <w:tmpl w:val="07DCD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70DA2"/>
    <w:multiLevelType w:val="hybridMultilevel"/>
    <w:tmpl w:val="DC5A161C"/>
    <w:lvl w:ilvl="0" w:tplc="7A207B5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02CE9"/>
    <w:multiLevelType w:val="hybridMultilevel"/>
    <w:tmpl w:val="59A2F788"/>
    <w:lvl w:ilvl="0" w:tplc="BD4ED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959A8"/>
    <w:multiLevelType w:val="hybridMultilevel"/>
    <w:tmpl w:val="B5BA5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617B1"/>
    <w:multiLevelType w:val="hybridMultilevel"/>
    <w:tmpl w:val="A27E22FA"/>
    <w:lvl w:ilvl="0" w:tplc="1DDCC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07AB5"/>
    <w:multiLevelType w:val="hybridMultilevel"/>
    <w:tmpl w:val="5540E1FE"/>
    <w:lvl w:ilvl="0" w:tplc="861ECA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93963"/>
    <w:multiLevelType w:val="hybridMultilevel"/>
    <w:tmpl w:val="A8E8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7492F"/>
    <w:multiLevelType w:val="hybridMultilevel"/>
    <w:tmpl w:val="952C5130"/>
    <w:lvl w:ilvl="0" w:tplc="3536DAA8">
      <w:start w:val="1"/>
      <w:numFmt w:val="upperRoman"/>
      <w:lvlText w:val="%1)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44"/>
    <w:rsid w:val="00025564"/>
    <w:rsid w:val="00066508"/>
    <w:rsid w:val="000C4852"/>
    <w:rsid w:val="000D356D"/>
    <w:rsid w:val="00153AB1"/>
    <w:rsid w:val="00166926"/>
    <w:rsid w:val="00191B76"/>
    <w:rsid w:val="001A75D1"/>
    <w:rsid w:val="00210875"/>
    <w:rsid w:val="002735F1"/>
    <w:rsid w:val="002E381C"/>
    <w:rsid w:val="0031124D"/>
    <w:rsid w:val="003358E8"/>
    <w:rsid w:val="003516B2"/>
    <w:rsid w:val="003A65D2"/>
    <w:rsid w:val="00437E4E"/>
    <w:rsid w:val="00445671"/>
    <w:rsid w:val="00504B7B"/>
    <w:rsid w:val="00571824"/>
    <w:rsid w:val="00573FE0"/>
    <w:rsid w:val="005A13A4"/>
    <w:rsid w:val="005A2E7F"/>
    <w:rsid w:val="005B01B9"/>
    <w:rsid w:val="005D2F04"/>
    <w:rsid w:val="00607781"/>
    <w:rsid w:val="006078E1"/>
    <w:rsid w:val="006239DD"/>
    <w:rsid w:val="00630144"/>
    <w:rsid w:val="00636CF3"/>
    <w:rsid w:val="00657F27"/>
    <w:rsid w:val="00675ED9"/>
    <w:rsid w:val="006A7A0E"/>
    <w:rsid w:val="00740DA7"/>
    <w:rsid w:val="007425D1"/>
    <w:rsid w:val="00753FDC"/>
    <w:rsid w:val="007A0C0F"/>
    <w:rsid w:val="007A4A4A"/>
    <w:rsid w:val="007D25D8"/>
    <w:rsid w:val="00864658"/>
    <w:rsid w:val="00876F58"/>
    <w:rsid w:val="008909EB"/>
    <w:rsid w:val="008A0542"/>
    <w:rsid w:val="00905532"/>
    <w:rsid w:val="009164D2"/>
    <w:rsid w:val="009627DA"/>
    <w:rsid w:val="00976D32"/>
    <w:rsid w:val="009D25E0"/>
    <w:rsid w:val="009F4580"/>
    <w:rsid w:val="00A2048E"/>
    <w:rsid w:val="00A205D5"/>
    <w:rsid w:val="00A37C9C"/>
    <w:rsid w:val="00B00740"/>
    <w:rsid w:val="00B1062E"/>
    <w:rsid w:val="00B456BA"/>
    <w:rsid w:val="00B6088B"/>
    <w:rsid w:val="00C52D61"/>
    <w:rsid w:val="00C57C27"/>
    <w:rsid w:val="00CB02DA"/>
    <w:rsid w:val="00D06EF3"/>
    <w:rsid w:val="00D83907"/>
    <w:rsid w:val="00DB538B"/>
    <w:rsid w:val="00DD69F5"/>
    <w:rsid w:val="00DE2306"/>
    <w:rsid w:val="00EC7D43"/>
    <w:rsid w:val="00EF73B4"/>
    <w:rsid w:val="00F13DA6"/>
    <w:rsid w:val="00FE6BA6"/>
    <w:rsid w:val="00FF1285"/>
    <w:rsid w:val="00FF257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25FA-DB82-4717-AE9C-106216A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14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01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30144"/>
    <w:pPr>
      <w:ind w:left="720"/>
      <w:contextualSpacing/>
    </w:pPr>
  </w:style>
  <w:style w:type="table" w:styleId="Tabela-Siatka">
    <w:name w:val="Table Grid"/>
    <w:basedOn w:val="Standardowy"/>
    <w:uiPriority w:val="39"/>
    <w:rsid w:val="0063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rsid w:val="00630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301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63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144"/>
  </w:style>
  <w:style w:type="character" w:styleId="Hipercze">
    <w:name w:val="Hyperlink"/>
    <w:basedOn w:val="Domylnaczcionkaakapitu"/>
    <w:uiPriority w:val="99"/>
    <w:unhideWhenUsed/>
    <w:rsid w:val="00630144"/>
    <w:rPr>
      <w:color w:val="0563C1" w:themeColor="hyperlink"/>
      <w:u w:val="single"/>
    </w:rPr>
  </w:style>
  <w:style w:type="paragraph" w:customStyle="1" w:styleId="Default">
    <w:name w:val="Default"/>
    <w:rsid w:val="00630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144"/>
    <w:rPr>
      <w:i/>
      <w:iCs/>
    </w:rPr>
  </w:style>
  <w:style w:type="character" w:styleId="Pogrubienie">
    <w:name w:val="Strong"/>
    <w:basedOn w:val="Domylnaczcionkaakapitu"/>
    <w:uiPriority w:val="22"/>
    <w:qFormat/>
    <w:rsid w:val="0063014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6088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2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F11D-82CE-4564-B7F0-476FB557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Kucharczyk</dc:creator>
  <cp:lastModifiedBy>Monika Górecka</cp:lastModifiedBy>
  <cp:revision>2</cp:revision>
  <dcterms:created xsi:type="dcterms:W3CDTF">2025-10-09T10:05:00Z</dcterms:created>
  <dcterms:modified xsi:type="dcterms:W3CDTF">2025-10-09T10:05:00Z</dcterms:modified>
</cp:coreProperties>
</file>