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7AB6" w:rsidRPr="008A722B" w:rsidRDefault="00CE7AB6" w:rsidP="00CE7AB6">
      <w:pPr>
        <w:spacing w:after="0" w:line="360" w:lineRule="auto"/>
        <w:jc w:val="right"/>
        <w:rPr>
          <w:rFonts w:ascii="Book Antiqua" w:hAnsi="Book Antiqua" w:cs="Times New Roman"/>
          <w:sz w:val="24"/>
          <w:szCs w:val="24"/>
        </w:rPr>
      </w:pPr>
      <w:bookmarkStart w:id="0" w:name="_GoBack"/>
      <w:bookmarkEnd w:id="0"/>
      <w:r w:rsidRPr="008A722B">
        <w:rPr>
          <w:rFonts w:ascii="Book Antiqua" w:hAnsi="Book Antiqua" w:cs="Times New Roman"/>
          <w:sz w:val="24"/>
          <w:szCs w:val="24"/>
        </w:rPr>
        <w:t>Kraków, 9 października 2025 r.</w:t>
      </w:r>
    </w:p>
    <w:p w:rsidR="00CE7AB6" w:rsidRPr="008A722B" w:rsidRDefault="00CE7AB6" w:rsidP="00CE7AB6">
      <w:pPr>
        <w:spacing w:after="0" w:line="360" w:lineRule="auto"/>
        <w:jc w:val="both"/>
        <w:rPr>
          <w:rFonts w:ascii="Book Antiqua" w:hAnsi="Book Antiqua" w:cs="Times New Roman"/>
          <w:i/>
          <w:sz w:val="24"/>
          <w:szCs w:val="24"/>
        </w:rPr>
      </w:pPr>
    </w:p>
    <w:p w:rsidR="00CE7AB6" w:rsidRPr="008A722B" w:rsidRDefault="00CE7AB6" w:rsidP="00CE7AB6">
      <w:pPr>
        <w:spacing w:after="0" w:line="360" w:lineRule="auto"/>
        <w:jc w:val="both"/>
        <w:rPr>
          <w:rFonts w:ascii="Book Antiqua" w:hAnsi="Book Antiqua" w:cs="Times New Roman"/>
          <w:i/>
          <w:sz w:val="24"/>
          <w:szCs w:val="24"/>
        </w:rPr>
      </w:pPr>
      <w:r w:rsidRPr="008A722B">
        <w:rPr>
          <w:rFonts w:ascii="Book Antiqua" w:hAnsi="Book Antiqua" w:cs="Times New Roman"/>
          <w:i/>
          <w:sz w:val="24"/>
          <w:szCs w:val="24"/>
        </w:rPr>
        <w:t xml:space="preserve">Zalecenia w sprawie praktyki odbywanej przez aplikantów V rocznika aplikacji </w:t>
      </w:r>
      <w:bookmarkStart w:id="1" w:name="_Hlk210809232"/>
      <w:r w:rsidRPr="008A722B">
        <w:rPr>
          <w:rFonts w:ascii="Book Antiqua" w:hAnsi="Book Antiqua" w:cs="Times New Roman"/>
          <w:i/>
          <w:sz w:val="24"/>
          <w:szCs w:val="24"/>
        </w:rPr>
        <w:t xml:space="preserve">uzupełniającej </w:t>
      </w:r>
      <w:bookmarkEnd w:id="1"/>
      <w:r w:rsidRPr="008A722B">
        <w:rPr>
          <w:rFonts w:ascii="Book Antiqua" w:hAnsi="Book Antiqua" w:cs="Times New Roman"/>
          <w:i/>
          <w:sz w:val="24"/>
          <w:szCs w:val="24"/>
        </w:rPr>
        <w:t>sędziowskiej po 30. zjeździe</w:t>
      </w:r>
    </w:p>
    <w:p w:rsidR="00CE7AB6" w:rsidRPr="008A722B" w:rsidRDefault="00CE7AB6" w:rsidP="00CE7AB6">
      <w:pPr>
        <w:spacing w:after="0" w:line="360" w:lineRule="auto"/>
        <w:jc w:val="both"/>
        <w:rPr>
          <w:rFonts w:ascii="Book Antiqua" w:hAnsi="Book Antiqua" w:cs="Times New Roman"/>
          <w:i/>
          <w:sz w:val="24"/>
          <w:szCs w:val="24"/>
        </w:rPr>
      </w:pPr>
    </w:p>
    <w:p w:rsidR="00CE7AB6" w:rsidRPr="008A722B" w:rsidRDefault="00CE7AB6" w:rsidP="00CE7AB6">
      <w:pPr>
        <w:spacing w:after="0" w:line="360" w:lineRule="auto"/>
        <w:rPr>
          <w:rFonts w:ascii="Book Antiqua" w:hAnsi="Book Antiqua" w:cs="Times New Roman"/>
          <w:sz w:val="24"/>
          <w:szCs w:val="24"/>
        </w:rPr>
      </w:pPr>
    </w:p>
    <w:p w:rsidR="00CE7AB6" w:rsidRPr="008A722B" w:rsidRDefault="00CE7AB6" w:rsidP="00CE7AB6">
      <w:pPr>
        <w:spacing w:after="0" w:line="360" w:lineRule="auto"/>
        <w:ind w:firstLine="4961"/>
        <w:rPr>
          <w:rFonts w:ascii="Book Antiqua" w:hAnsi="Book Antiqua" w:cs="Times New Roman"/>
          <w:b/>
          <w:sz w:val="24"/>
          <w:szCs w:val="24"/>
        </w:rPr>
      </w:pPr>
      <w:r w:rsidRPr="008A722B">
        <w:rPr>
          <w:rFonts w:ascii="Book Antiqua" w:hAnsi="Book Antiqua" w:cs="Times New Roman"/>
          <w:b/>
          <w:sz w:val="24"/>
          <w:szCs w:val="24"/>
        </w:rPr>
        <w:t>Do</w:t>
      </w:r>
    </w:p>
    <w:p w:rsidR="00CE7AB6" w:rsidRPr="008A722B" w:rsidRDefault="00CE7AB6" w:rsidP="00CE7AB6">
      <w:pPr>
        <w:spacing w:after="0" w:line="360" w:lineRule="auto"/>
        <w:ind w:firstLine="4961"/>
        <w:rPr>
          <w:rFonts w:ascii="Book Antiqua" w:hAnsi="Book Antiqua" w:cs="Times New Roman"/>
          <w:b/>
          <w:sz w:val="24"/>
          <w:szCs w:val="24"/>
        </w:rPr>
      </w:pPr>
      <w:r w:rsidRPr="008A722B">
        <w:rPr>
          <w:rFonts w:ascii="Book Antiqua" w:hAnsi="Book Antiqua" w:cs="Times New Roman"/>
          <w:b/>
          <w:sz w:val="24"/>
          <w:szCs w:val="24"/>
        </w:rPr>
        <w:t>Patronów praktyk</w:t>
      </w:r>
    </w:p>
    <w:p w:rsidR="00CE7AB6" w:rsidRPr="008A722B" w:rsidRDefault="00CE7AB6" w:rsidP="00CE7AB6">
      <w:pPr>
        <w:spacing w:after="0" w:line="360" w:lineRule="auto"/>
        <w:ind w:firstLine="4961"/>
        <w:rPr>
          <w:rFonts w:ascii="Book Antiqua" w:hAnsi="Book Antiqua" w:cs="Times New Roman"/>
          <w:b/>
          <w:sz w:val="24"/>
          <w:szCs w:val="24"/>
        </w:rPr>
      </w:pPr>
      <w:r w:rsidRPr="008A722B">
        <w:rPr>
          <w:rFonts w:ascii="Book Antiqua" w:hAnsi="Book Antiqua" w:cs="Times New Roman"/>
          <w:b/>
          <w:sz w:val="24"/>
          <w:szCs w:val="24"/>
        </w:rPr>
        <w:t>oraz Patronów koordynatorów</w:t>
      </w:r>
    </w:p>
    <w:p w:rsidR="00CE7AB6" w:rsidRPr="008A722B" w:rsidRDefault="00CE7AB6" w:rsidP="00CE7AB6">
      <w:pPr>
        <w:spacing w:after="0" w:line="360" w:lineRule="auto"/>
        <w:ind w:left="4956" w:firstLine="5"/>
        <w:rPr>
          <w:rFonts w:ascii="Book Antiqua" w:hAnsi="Book Antiqua" w:cs="Times New Roman"/>
          <w:b/>
          <w:sz w:val="24"/>
          <w:szCs w:val="24"/>
        </w:rPr>
      </w:pPr>
      <w:r w:rsidRPr="008A722B">
        <w:rPr>
          <w:rFonts w:ascii="Book Antiqua" w:hAnsi="Book Antiqua" w:cs="Times New Roman"/>
          <w:b/>
          <w:sz w:val="24"/>
          <w:szCs w:val="24"/>
        </w:rPr>
        <w:t>aplikantów aplikacji</w:t>
      </w:r>
      <w:r w:rsidRPr="008A722B">
        <w:rPr>
          <w:rFonts w:ascii="Book Antiqua" w:hAnsi="Book Antiqua" w:cs="Times New Roman"/>
          <w:b/>
          <w:sz w:val="24"/>
          <w:szCs w:val="24"/>
        </w:rPr>
        <w:br/>
        <w:t>uzupełniającej sędziowskiej</w:t>
      </w:r>
    </w:p>
    <w:p w:rsidR="00CE7AB6" w:rsidRPr="008A722B" w:rsidRDefault="00CE7AB6" w:rsidP="00CE7AB6">
      <w:pPr>
        <w:spacing w:after="0" w:line="360" w:lineRule="auto"/>
        <w:jc w:val="both"/>
        <w:rPr>
          <w:rFonts w:ascii="Book Antiqua" w:hAnsi="Book Antiqua" w:cs="Times New Roman"/>
          <w:sz w:val="24"/>
          <w:szCs w:val="24"/>
        </w:rPr>
      </w:pPr>
    </w:p>
    <w:p w:rsidR="00CE7AB6" w:rsidRPr="008A722B" w:rsidRDefault="00CE7AB6" w:rsidP="00CE7AB6">
      <w:pPr>
        <w:spacing w:after="0" w:line="360" w:lineRule="auto"/>
        <w:jc w:val="both"/>
        <w:rPr>
          <w:rFonts w:ascii="Book Antiqua" w:hAnsi="Book Antiqua" w:cs="Times New Roman"/>
          <w:sz w:val="24"/>
          <w:szCs w:val="24"/>
        </w:rPr>
      </w:pPr>
    </w:p>
    <w:p w:rsidR="00CE7AB6" w:rsidRDefault="00CE7AB6" w:rsidP="00CE7AB6">
      <w:pPr>
        <w:spacing w:after="0" w:line="360" w:lineRule="auto"/>
        <w:ind w:firstLine="708"/>
        <w:contextualSpacing/>
        <w:jc w:val="both"/>
        <w:rPr>
          <w:rFonts w:ascii="Book Antiqua" w:hAnsi="Book Antiqua" w:cs="Times New Roman"/>
          <w:sz w:val="24"/>
          <w:szCs w:val="24"/>
        </w:rPr>
      </w:pPr>
      <w:r w:rsidRPr="008A722B">
        <w:rPr>
          <w:rFonts w:ascii="Book Antiqua" w:hAnsi="Book Antiqua" w:cs="Times New Roman"/>
          <w:sz w:val="24"/>
          <w:szCs w:val="24"/>
        </w:rPr>
        <w:t>Uprzejmie przedstawiam szczegółowy zakres tematyczny, który winien być przedmiotem praktyk aplikantów V</w:t>
      </w:r>
      <w:r w:rsidR="008A722B">
        <w:rPr>
          <w:rFonts w:ascii="Book Antiqua" w:hAnsi="Book Antiqua" w:cs="Times New Roman"/>
          <w:sz w:val="24"/>
          <w:szCs w:val="24"/>
        </w:rPr>
        <w:t>.</w:t>
      </w:r>
      <w:r w:rsidRPr="008A722B">
        <w:rPr>
          <w:rFonts w:ascii="Book Antiqua" w:hAnsi="Book Antiqua" w:cs="Times New Roman"/>
          <w:sz w:val="24"/>
          <w:szCs w:val="24"/>
        </w:rPr>
        <w:t xml:space="preserve"> rocznika aplikacji uzupełniającej sędziowskiej, odbywanych </w:t>
      </w:r>
      <w:r w:rsidRPr="008A722B">
        <w:rPr>
          <w:rFonts w:ascii="Book Antiqua" w:hAnsi="Book Antiqua" w:cs="Times New Roman"/>
          <w:b/>
          <w:sz w:val="24"/>
          <w:szCs w:val="24"/>
          <w:u w:val="single"/>
        </w:rPr>
        <w:t>w okresie od 13.10</w:t>
      </w:r>
      <w:r w:rsidR="00FF55D7">
        <w:rPr>
          <w:rFonts w:ascii="Book Antiqua" w:hAnsi="Book Antiqua" w:cs="Times New Roman"/>
          <w:b/>
          <w:sz w:val="24"/>
          <w:szCs w:val="24"/>
          <w:u w:val="single"/>
        </w:rPr>
        <w:t xml:space="preserve">.2025 r. </w:t>
      </w:r>
      <w:r w:rsidRPr="008A722B">
        <w:rPr>
          <w:rFonts w:ascii="Book Antiqua" w:hAnsi="Book Antiqua" w:cs="Times New Roman"/>
          <w:b/>
          <w:sz w:val="24"/>
          <w:szCs w:val="24"/>
          <w:u w:val="single"/>
        </w:rPr>
        <w:t xml:space="preserve"> do 24.10.2025 r. w wymiarze 2 dni roboczych (jeden dzień praktyki w każdym z dwóch tygodni)</w:t>
      </w:r>
      <w:r w:rsidRPr="008A722B">
        <w:rPr>
          <w:rFonts w:ascii="Book Antiqua" w:hAnsi="Book Antiqua" w:cs="Times New Roman"/>
          <w:sz w:val="24"/>
          <w:szCs w:val="24"/>
        </w:rPr>
        <w:t xml:space="preserve"> po 30. zjeździe, który odbędzie się w dniach 11 -12.10.2025 r.</w:t>
      </w:r>
    </w:p>
    <w:p w:rsidR="008A722B" w:rsidRPr="008A722B" w:rsidRDefault="008A722B" w:rsidP="00CE7AB6">
      <w:pPr>
        <w:spacing w:after="0" w:line="360" w:lineRule="auto"/>
        <w:ind w:firstLine="708"/>
        <w:contextualSpacing/>
        <w:jc w:val="both"/>
        <w:rPr>
          <w:rFonts w:ascii="Book Antiqua" w:hAnsi="Book Antiqua" w:cs="Times New Roman"/>
          <w:sz w:val="24"/>
          <w:szCs w:val="24"/>
        </w:rPr>
      </w:pPr>
    </w:p>
    <w:p w:rsidR="00CE7AB6" w:rsidRPr="008A722B" w:rsidRDefault="00CE7AB6" w:rsidP="00CE7AB6">
      <w:pPr>
        <w:spacing w:after="0" w:line="360" w:lineRule="auto"/>
        <w:ind w:firstLine="708"/>
        <w:contextualSpacing/>
        <w:jc w:val="both"/>
        <w:rPr>
          <w:rFonts w:ascii="Book Antiqua" w:hAnsi="Book Antiqua" w:cs="Times New Roman"/>
          <w:sz w:val="24"/>
          <w:szCs w:val="24"/>
        </w:rPr>
      </w:pPr>
      <w:r w:rsidRPr="008A722B">
        <w:rPr>
          <w:rFonts w:ascii="Book Antiqua" w:hAnsi="Book Antiqua" w:cs="Times New Roman"/>
          <w:sz w:val="24"/>
          <w:szCs w:val="24"/>
        </w:rPr>
        <w:t>Założeniem praktyki, co do zasady, jest zaznajomienie aplikantów z czynnościami i metodyką pracy sędziego oraz doskonalenie umiejętności wykorzystania wiedzy teoretycznej i znajomości orzecznictwa przy sporządzaniu projektów orzeczeń, zarządzeń i pism procesowych, a także poprzez uczestniczenie w czynnościach podejmowanych przez patrona praktyki. Praktyka winna utrwalać wiedzę zdobytą przez aplikanta podczas poprzedzających ją zajęć seminaryjnych w ramach zjazdu.</w:t>
      </w:r>
    </w:p>
    <w:p w:rsidR="00830E6C" w:rsidRPr="008A722B" w:rsidRDefault="00CE7AB6" w:rsidP="00CE7AB6">
      <w:pPr>
        <w:spacing w:after="0" w:line="360" w:lineRule="auto"/>
        <w:ind w:firstLine="708"/>
        <w:contextualSpacing/>
        <w:jc w:val="both"/>
        <w:rPr>
          <w:rFonts w:ascii="Book Antiqua" w:hAnsi="Book Antiqua"/>
          <w:sz w:val="24"/>
          <w:szCs w:val="24"/>
        </w:rPr>
      </w:pPr>
      <w:r w:rsidRPr="008A722B">
        <w:rPr>
          <w:rFonts w:ascii="Book Antiqua" w:hAnsi="Book Antiqua" w:cs="Times New Roman"/>
          <w:sz w:val="24"/>
          <w:szCs w:val="24"/>
        </w:rPr>
        <w:t>Zgodnie z programem aplikacji uzupełniającej sędziowskiej, tematyka 3</w:t>
      </w:r>
      <w:r w:rsidR="00830E6C" w:rsidRPr="008A722B">
        <w:rPr>
          <w:rFonts w:ascii="Book Antiqua" w:hAnsi="Book Antiqua" w:cs="Times New Roman"/>
          <w:sz w:val="24"/>
          <w:szCs w:val="24"/>
        </w:rPr>
        <w:t>0</w:t>
      </w:r>
      <w:r w:rsidRPr="008A722B">
        <w:rPr>
          <w:rFonts w:ascii="Book Antiqua" w:hAnsi="Book Antiqua" w:cs="Times New Roman"/>
          <w:sz w:val="24"/>
          <w:szCs w:val="24"/>
        </w:rPr>
        <w:t xml:space="preserve">. zjazdu obejmuje zagadnienia dotyczące </w:t>
      </w:r>
      <w:r w:rsidR="00830E6C" w:rsidRPr="008A722B">
        <w:rPr>
          <w:rFonts w:ascii="Book Antiqua" w:hAnsi="Book Antiqua" w:cs="Times New Roman"/>
          <w:sz w:val="24"/>
          <w:szCs w:val="24"/>
        </w:rPr>
        <w:t>praw</w:t>
      </w:r>
      <w:r w:rsidR="00830E6C" w:rsidRPr="008A722B">
        <w:rPr>
          <w:rFonts w:ascii="Book Antiqua" w:hAnsi="Book Antiqua"/>
          <w:sz w:val="24"/>
          <w:szCs w:val="24"/>
        </w:rPr>
        <w:t xml:space="preserve">a gospodarczego oraz zobowiązań. Po zakończeniu zjazdu aplikanci mają odbyć </w:t>
      </w:r>
      <w:r w:rsidR="00830E6C" w:rsidRPr="008A722B">
        <w:rPr>
          <w:rFonts w:ascii="Book Antiqua" w:hAnsi="Book Antiqua" w:cs="Times New Roman"/>
          <w:sz w:val="24"/>
          <w:szCs w:val="24"/>
        </w:rPr>
        <w:t xml:space="preserve">trwającą 2 dni </w:t>
      </w:r>
      <w:r w:rsidR="00830E6C" w:rsidRPr="008A722B">
        <w:rPr>
          <w:rFonts w:ascii="Book Antiqua" w:hAnsi="Book Antiqua"/>
          <w:sz w:val="24"/>
          <w:szCs w:val="24"/>
        </w:rPr>
        <w:t>praktykę w sądzie rejonowym, w wydziale gospodarczym.</w:t>
      </w:r>
    </w:p>
    <w:p w:rsidR="00830E6C" w:rsidRPr="008A722B" w:rsidRDefault="00830E6C" w:rsidP="00CE7AB6">
      <w:pPr>
        <w:spacing w:after="0" w:line="360" w:lineRule="auto"/>
        <w:ind w:firstLine="708"/>
        <w:contextualSpacing/>
        <w:jc w:val="both"/>
        <w:rPr>
          <w:rFonts w:ascii="Book Antiqua" w:hAnsi="Book Antiqua" w:cs="Times New Roman"/>
          <w:sz w:val="24"/>
          <w:szCs w:val="24"/>
        </w:rPr>
      </w:pPr>
    </w:p>
    <w:p w:rsidR="00CE7AB6" w:rsidRPr="008A722B" w:rsidRDefault="00CE7AB6" w:rsidP="00CE7AB6">
      <w:pPr>
        <w:spacing w:after="0" w:line="360" w:lineRule="auto"/>
        <w:contextualSpacing/>
        <w:jc w:val="both"/>
        <w:rPr>
          <w:rFonts w:ascii="Book Antiqua" w:hAnsi="Book Antiqua" w:cs="Times New Roman"/>
          <w:sz w:val="24"/>
          <w:szCs w:val="24"/>
        </w:rPr>
      </w:pPr>
    </w:p>
    <w:p w:rsidR="00CE7AB6" w:rsidRPr="008A722B" w:rsidRDefault="00CE7AB6" w:rsidP="00CE7AB6">
      <w:pPr>
        <w:spacing w:after="0" w:line="360" w:lineRule="auto"/>
        <w:ind w:firstLine="708"/>
        <w:contextualSpacing/>
        <w:jc w:val="both"/>
        <w:rPr>
          <w:rFonts w:ascii="Book Antiqua" w:hAnsi="Book Antiqua" w:cs="Times New Roman"/>
          <w:sz w:val="24"/>
          <w:szCs w:val="24"/>
        </w:rPr>
      </w:pPr>
      <w:r w:rsidRPr="008A722B">
        <w:rPr>
          <w:rFonts w:ascii="Book Antiqua" w:hAnsi="Book Antiqua" w:cs="Times New Roman"/>
          <w:sz w:val="24"/>
          <w:szCs w:val="24"/>
        </w:rPr>
        <w:t>W zakresie spraw będących przedmiotem zjazdu, patron praktyki oraz patron koordynator powinni przy pracy z aplikantami poświęcić szczególną uwagę zagadnieniom</w:t>
      </w:r>
      <w:r w:rsidR="008A722B">
        <w:rPr>
          <w:rFonts w:ascii="Book Antiqua" w:hAnsi="Book Antiqua" w:cs="Times New Roman"/>
          <w:sz w:val="24"/>
          <w:szCs w:val="24"/>
        </w:rPr>
        <w:t xml:space="preserve"> </w:t>
      </w:r>
      <w:r w:rsidRPr="008A722B">
        <w:rPr>
          <w:rFonts w:ascii="Book Antiqua" w:hAnsi="Book Antiqua" w:cs="Times New Roman"/>
          <w:sz w:val="24"/>
          <w:szCs w:val="24"/>
        </w:rPr>
        <w:t xml:space="preserve">z zakresu </w:t>
      </w:r>
      <w:r w:rsidRPr="008A722B">
        <w:rPr>
          <w:rFonts w:ascii="Book Antiqua" w:hAnsi="Book Antiqua" w:cs="Times New Roman"/>
          <w:b/>
          <w:sz w:val="24"/>
          <w:szCs w:val="24"/>
        </w:rPr>
        <w:t>prawa materialnego</w:t>
      </w:r>
      <w:r w:rsidRPr="008A722B">
        <w:rPr>
          <w:rFonts w:ascii="Book Antiqua" w:hAnsi="Book Antiqua" w:cs="Times New Roman"/>
          <w:sz w:val="24"/>
          <w:szCs w:val="24"/>
        </w:rPr>
        <w:t>, w skład których wchodzą:</w:t>
      </w:r>
    </w:p>
    <w:p w:rsidR="00830E6C" w:rsidRPr="008A722B" w:rsidRDefault="00830E6C" w:rsidP="008A722B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Book Antiqua" w:hAnsi="Book Antiqua" w:cs="Times New Roman"/>
          <w:sz w:val="24"/>
          <w:szCs w:val="24"/>
        </w:rPr>
      </w:pPr>
      <w:r w:rsidRPr="008A722B">
        <w:rPr>
          <w:rFonts w:ascii="Book Antiqua" w:hAnsi="Book Antiqua"/>
          <w:sz w:val="24"/>
          <w:szCs w:val="24"/>
        </w:rPr>
        <w:t xml:space="preserve">ogólne zasady odpowiedzialności kontraktowej między przedsiębiorcami i ich modyfikacje w stosunku do obrotu nieprofesjonalnego, ze szczególnym uwzględnieniem przepisów ustawy z dnia 8 marca 2013 r. o przeciwdziałaniu nadmiernym opóźnieniom w transakcjach handlowych; </w:t>
      </w:r>
    </w:p>
    <w:p w:rsidR="00830E6C" w:rsidRPr="008A722B" w:rsidRDefault="00830E6C" w:rsidP="008A722B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Book Antiqua" w:hAnsi="Book Antiqua" w:cs="Times New Roman"/>
          <w:sz w:val="24"/>
          <w:szCs w:val="24"/>
        </w:rPr>
      </w:pPr>
      <w:r w:rsidRPr="008A722B">
        <w:rPr>
          <w:rFonts w:ascii="Book Antiqua" w:hAnsi="Book Antiqua"/>
          <w:sz w:val="24"/>
          <w:szCs w:val="24"/>
        </w:rPr>
        <w:t xml:space="preserve">kara umowna; dopuszczalność i zakres miarkowania kary umownej w stosunkach między przedsiębiorcami; </w:t>
      </w:r>
    </w:p>
    <w:p w:rsidR="00830E6C" w:rsidRPr="008A722B" w:rsidRDefault="00830E6C" w:rsidP="008A722B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Book Antiqua" w:hAnsi="Book Antiqua" w:cs="Times New Roman"/>
          <w:sz w:val="24"/>
          <w:szCs w:val="24"/>
        </w:rPr>
      </w:pPr>
      <w:r w:rsidRPr="008A722B">
        <w:rPr>
          <w:rFonts w:ascii="Book Antiqua" w:hAnsi="Book Antiqua"/>
          <w:sz w:val="24"/>
          <w:szCs w:val="24"/>
        </w:rPr>
        <w:t xml:space="preserve">potrącenie jako oświadczenie materialnoprawne; </w:t>
      </w:r>
    </w:p>
    <w:p w:rsidR="008A722B" w:rsidRPr="008A722B" w:rsidRDefault="00830E6C" w:rsidP="008A722B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Book Antiqua" w:hAnsi="Book Antiqua" w:cs="Times New Roman"/>
          <w:sz w:val="24"/>
          <w:szCs w:val="24"/>
        </w:rPr>
      </w:pPr>
      <w:r w:rsidRPr="008A722B">
        <w:rPr>
          <w:rFonts w:ascii="Book Antiqua" w:hAnsi="Book Antiqua"/>
          <w:sz w:val="24"/>
          <w:szCs w:val="24"/>
        </w:rPr>
        <w:t xml:space="preserve">najczęściej występujące w praktyce umowy między przedsiębiorcami, w tym w szczególności: </w:t>
      </w:r>
    </w:p>
    <w:p w:rsidR="00830E6C" w:rsidRPr="008A722B" w:rsidRDefault="00830E6C" w:rsidP="008A722B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Book Antiqua" w:hAnsi="Book Antiqua" w:cs="Times New Roman"/>
          <w:sz w:val="24"/>
          <w:szCs w:val="24"/>
        </w:rPr>
      </w:pPr>
      <w:r w:rsidRPr="008A722B">
        <w:rPr>
          <w:rFonts w:ascii="Book Antiqua" w:hAnsi="Book Antiqua"/>
          <w:sz w:val="24"/>
          <w:szCs w:val="24"/>
        </w:rPr>
        <w:t xml:space="preserve">umowa sprzedaży, ze szczególnym uwzględnieniem przesłanek utraty uprawnień z tytułu rękojmi (art. 563-564 k.c.); Konwencja Narodów Zjednoczonych o umowach międzynarodowej sprzedaży towarów (Wiedeń, 11 kwietnia 1980 r.); </w:t>
      </w:r>
    </w:p>
    <w:p w:rsidR="00830E6C" w:rsidRPr="008A722B" w:rsidRDefault="00830E6C" w:rsidP="008A722B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Book Antiqua" w:hAnsi="Book Antiqua" w:cs="Times New Roman"/>
          <w:sz w:val="24"/>
          <w:szCs w:val="24"/>
        </w:rPr>
      </w:pPr>
      <w:r w:rsidRPr="008A722B">
        <w:rPr>
          <w:rFonts w:ascii="Book Antiqua" w:hAnsi="Book Antiqua"/>
          <w:sz w:val="24"/>
          <w:szCs w:val="24"/>
        </w:rPr>
        <w:t xml:space="preserve"> umowa o dzieło i umowa o roboty budowlane, ze szczególnym uwzględnieniem kryteriów rozróżnienia tych dwóch typów umów; </w:t>
      </w:r>
    </w:p>
    <w:p w:rsidR="00830E6C" w:rsidRPr="008A722B" w:rsidRDefault="00830E6C" w:rsidP="008A722B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Book Antiqua" w:hAnsi="Book Antiqua" w:cs="Times New Roman"/>
          <w:sz w:val="24"/>
          <w:szCs w:val="24"/>
        </w:rPr>
      </w:pPr>
      <w:r w:rsidRPr="008A722B">
        <w:rPr>
          <w:rFonts w:ascii="Book Antiqua" w:hAnsi="Book Antiqua"/>
          <w:sz w:val="24"/>
          <w:szCs w:val="24"/>
        </w:rPr>
        <w:t>umowa leasingu; umowa o rachunek bankowy; umowa ubezpieczenia; umowa agencyjna;</w:t>
      </w:r>
    </w:p>
    <w:p w:rsidR="00830E6C" w:rsidRPr="008A722B" w:rsidRDefault="00830E6C" w:rsidP="008A722B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Book Antiqua" w:hAnsi="Book Antiqua" w:cs="Times New Roman"/>
          <w:sz w:val="24"/>
          <w:szCs w:val="24"/>
        </w:rPr>
      </w:pPr>
      <w:r w:rsidRPr="008A722B">
        <w:rPr>
          <w:rFonts w:ascii="Book Antiqua" w:hAnsi="Book Antiqua"/>
          <w:sz w:val="24"/>
          <w:szCs w:val="24"/>
        </w:rPr>
        <w:t xml:space="preserve">umowa przewozu i umowa spedycji, ze szczególnym uwzględnieniem kryteriów rozróżnienia tych dwóch typów umów; Konwencja o umowie międzynarodowego przewozu drogowego towarów – tzw. Konwencja CMR; </w:t>
      </w:r>
    </w:p>
    <w:p w:rsidR="00830E6C" w:rsidRPr="008A722B" w:rsidRDefault="00830E6C" w:rsidP="008A722B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Book Antiqua" w:hAnsi="Book Antiqua" w:cs="Times New Roman"/>
          <w:sz w:val="24"/>
          <w:szCs w:val="24"/>
        </w:rPr>
      </w:pPr>
      <w:r w:rsidRPr="008A722B">
        <w:rPr>
          <w:rFonts w:ascii="Book Antiqua" w:hAnsi="Book Antiqua"/>
          <w:sz w:val="24"/>
          <w:szCs w:val="24"/>
        </w:rPr>
        <w:t xml:space="preserve">umowy nienazwane (umowa faktoringu, umowa franczyzy /franchisingu/, umowa konsorcjum); </w:t>
      </w:r>
    </w:p>
    <w:p w:rsidR="00CE7AB6" w:rsidRPr="008A722B" w:rsidRDefault="008A722B" w:rsidP="008A722B">
      <w:pPr>
        <w:spacing w:after="0" w:line="360" w:lineRule="auto"/>
        <w:ind w:left="360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5) </w:t>
      </w:r>
      <w:r w:rsidR="00830E6C" w:rsidRPr="008A722B">
        <w:rPr>
          <w:rFonts w:ascii="Book Antiqua" w:hAnsi="Book Antiqua"/>
          <w:sz w:val="24"/>
          <w:szCs w:val="24"/>
        </w:rPr>
        <w:t>spółka cywilna, w tym w szczególności reprezentacja spółki oraz odpowiedzialność wspólników za zobowiązania spółki.</w:t>
      </w:r>
    </w:p>
    <w:p w:rsidR="00830E6C" w:rsidRPr="008A722B" w:rsidRDefault="00830E6C" w:rsidP="00830E6C">
      <w:pPr>
        <w:pStyle w:val="Akapitzlist"/>
        <w:spacing w:after="0" w:line="360" w:lineRule="auto"/>
        <w:jc w:val="both"/>
        <w:rPr>
          <w:rFonts w:ascii="Book Antiqua" w:hAnsi="Book Antiqua" w:cs="Times New Roman"/>
          <w:sz w:val="24"/>
          <w:szCs w:val="24"/>
        </w:rPr>
      </w:pPr>
    </w:p>
    <w:p w:rsidR="00CE7AB6" w:rsidRPr="008A722B" w:rsidRDefault="00CE7AB6" w:rsidP="00CE7AB6">
      <w:pPr>
        <w:spacing w:after="0" w:line="360" w:lineRule="auto"/>
        <w:ind w:firstLine="708"/>
        <w:contextualSpacing/>
        <w:jc w:val="both"/>
        <w:rPr>
          <w:rFonts w:ascii="Book Antiqua" w:hAnsi="Book Antiqua" w:cs="Times New Roman"/>
          <w:sz w:val="24"/>
          <w:szCs w:val="24"/>
        </w:rPr>
      </w:pPr>
      <w:r w:rsidRPr="008A722B">
        <w:rPr>
          <w:rFonts w:ascii="Book Antiqua" w:hAnsi="Book Antiqua" w:cs="Times New Roman"/>
          <w:sz w:val="24"/>
          <w:szCs w:val="24"/>
        </w:rPr>
        <w:lastRenderedPageBreak/>
        <w:t xml:space="preserve">Nadto, patron praktyki oraz patron koordynator powinni zapewnić, aby w toku praktyki aplikanci zapoznali się z zagadnieniami z zakresu </w:t>
      </w:r>
      <w:r w:rsidRPr="008A722B">
        <w:rPr>
          <w:rFonts w:ascii="Book Antiqua" w:hAnsi="Book Antiqua" w:cs="Times New Roman"/>
          <w:b/>
          <w:sz w:val="24"/>
          <w:szCs w:val="24"/>
        </w:rPr>
        <w:t>prawa procesowego</w:t>
      </w:r>
      <w:r w:rsidRPr="008A722B">
        <w:rPr>
          <w:rFonts w:ascii="Book Antiqua" w:hAnsi="Book Antiqua" w:cs="Times New Roman"/>
          <w:sz w:val="24"/>
          <w:szCs w:val="24"/>
        </w:rPr>
        <w:t>, w skład których wchodzą:</w:t>
      </w:r>
    </w:p>
    <w:p w:rsidR="00830E6C" w:rsidRPr="008A722B" w:rsidRDefault="00830E6C" w:rsidP="00830E6C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Book Antiqua" w:hAnsi="Book Antiqua"/>
          <w:sz w:val="24"/>
          <w:szCs w:val="24"/>
        </w:rPr>
      </w:pPr>
      <w:r w:rsidRPr="008A722B">
        <w:rPr>
          <w:rFonts w:ascii="Book Antiqua" w:hAnsi="Book Antiqua"/>
          <w:sz w:val="24"/>
          <w:szCs w:val="24"/>
        </w:rPr>
        <w:t>pojęcie sprawy gospodarczej (art. 458</w:t>
      </w:r>
      <w:r w:rsidRPr="008A722B">
        <w:rPr>
          <w:rFonts w:ascii="Book Antiqua" w:hAnsi="Book Antiqua"/>
          <w:sz w:val="24"/>
          <w:szCs w:val="24"/>
          <w:vertAlign w:val="superscript"/>
        </w:rPr>
        <w:t>2</w:t>
      </w:r>
      <w:r w:rsidRPr="008A722B">
        <w:rPr>
          <w:rFonts w:ascii="Book Antiqua" w:hAnsi="Book Antiqua"/>
          <w:sz w:val="24"/>
          <w:szCs w:val="24"/>
        </w:rPr>
        <w:t xml:space="preserve"> k.p.c.); </w:t>
      </w:r>
    </w:p>
    <w:p w:rsidR="00830E6C" w:rsidRPr="008A722B" w:rsidRDefault="00830E6C" w:rsidP="00830E6C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Book Antiqua" w:hAnsi="Book Antiqua"/>
          <w:sz w:val="24"/>
          <w:szCs w:val="24"/>
        </w:rPr>
      </w:pPr>
      <w:r w:rsidRPr="008A722B">
        <w:rPr>
          <w:rFonts w:ascii="Book Antiqua" w:hAnsi="Book Antiqua"/>
          <w:sz w:val="24"/>
          <w:szCs w:val="24"/>
        </w:rPr>
        <w:t xml:space="preserve">najistotniejsze odrębności postępowania w sprawach gospodarczych, w tym w szczególności takie jak: </w:t>
      </w:r>
    </w:p>
    <w:p w:rsidR="00830E6C" w:rsidRPr="008A722B" w:rsidRDefault="00830E6C" w:rsidP="00830E6C">
      <w:pPr>
        <w:pStyle w:val="Akapitzlist"/>
        <w:spacing w:after="0" w:line="360" w:lineRule="auto"/>
        <w:ind w:left="1068"/>
        <w:jc w:val="both"/>
        <w:rPr>
          <w:rFonts w:ascii="Book Antiqua" w:hAnsi="Book Antiqua"/>
          <w:sz w:val="24"/>
          <w:szCs w:val="24"/>
        </w:rPr>
      </w:pPr>
      <w:r w:rsidRPr="008A722B">
        <w:rPr>
          <w:rFonts w:ascii="Book Antiqua" w:hAnsi="Book Antiqua"/>
          <w:sz w:val="24"/>
          <w:szCs w:val="24"/>
        </w:rPr>
        <w:t>a) ograniczenie możliwości przekazania sprawy sądowi właściwemu (art. 458</w:t>
      </w:r>
      <w:r w:rsidRPr="008A722B">
        <w:rPr>
          <w:rFonts w:ascii="Book Antiqua" w:hAnsi="Book Antiqua"/>
          <w:sz w:val="24"/>
          <w:szCs w:val="24"/>
          <w:vertAlign w:val="superscript"/>
        </w:rPr>
        <w:t>7</w:t>
      </w:r>
      <w:r w:rsidRPr="008A722B">
        <w:rPr>
          <w:rFonts w:ascii="Book Antiqua" w:hAnsi="Book Antiqua"/>
          <w:sz w:val="24"/>
          <w:szCs w:val="24"/>
        </w:rPr>
        <w:t xml:space="preserve"> k.p.c.); ograniczenie możliwości dokonywania przekształceń przedmiotowych i podmiotowych, </w:t>
      </w:r>
    </w:p>
    <w:p w:rsidR="00830E6C" w:rsidRPr="008A722B" w:rsidRDefault="00830E6C" w:rsidP="00830E6C">
      <w:pPr>
        <w:pStyle w:val="Akapitzlist"/>
        <w:spacing w:after="0" w:line="360" w:lineRule="auto"/>
        <w:ind w:left="1068"/>
        <w:jc w:val="both"/>
        <w:rPr>
          <w:rFonts w:ascii="Book Antiqua" w:hAnsi="Book Antiqua"/>
          <w:sz w:val="24"/>
          <w:szCs w:val="24"/>
        </w:rPr>
      </w:pPr>
      <w:r w:rsidRPr="008A722B">
        <w:rPr>
          <w:rFonts w:ascii="Book Antiqua" w:hAnsi="Book Antiqua"/>
          <w:sz w:val="24"/>
          <w:szCs w:val="24"/>
        </w:rPr>
        <w:t xml:space="preserve">b) prekluzja dowodowa; niedopuszczalność powództwa wzajemnego, </w:t>
      </w:r>
    </w:p>
    <w:p w:rsidR="00830E6C" w:rsidRPr="008A722B" w:rsidRDefault="00830E6C" w:rsidP="00830E6C">
      <w:pPr>
        <w:pStyle w:val="Akapitzlist"/>
        <w:spacing w:after="0" w:line="360" w:lineRule="auto"/>
        <w:ind w:left="1068"/>
        <w:jc w:val="both"/>
        <w:rPr>
          <w:rFonts w:ascii="Book Antiqua" w:hAnsi="Book Antiqua"/>
          <w:sz w:val="24"/>
          <w:szCs w:val="24"/>
        </w:rPr>
      </w:pPr>
      <w:r w:rsidRPr="008A722B">
        <w:rPr>
          <w:rFonts w:ascii="Book Antiqua" w:hAnsi="Book Antiqua"/>
          <w:sz w:val="24"/>
          <w:szCs w:val="24"/>
        </w:rPr>
        <w:t>c) wyrok sądu I instancji jako tytuł zabezpieczenia (art. 458</w:t>
      </w:r>
      <w:r w:rsidRPr="008A722B">
        <w:rPr>
          <w:rFonts w:ascii="Book Antiqua" w:hAnsi="Book Antiqua"/>
          <w:sz w:val="24"/>
          <w:szCs w:val="24"/>
          <w:vertAlign w:val="superscript"/>
        </w:rPr>
        <w:t>13</w:t>
      </w:r>
      <w:r w:rsidRPr="008A722B">
        <w:rPr>
          <w:rFonts w:ascii="Book Antiqua" w:hAnsi="Book Antiqua"/>
          <w:sz w:val="24"/>
          <w:szCs w:val="24"/>
        </w:rPr>
        <w:t xml:space="preserve"> k.p.c.); </w:t>
      </w:r>
    </w:p>
    <w:p w:rsidR="00830E6C" w:rsidRPr="008A722B" w:rsidRDefault="00830E6C" w:rsidP="00830E6C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Book Antiqua" w:hAnsi="Book Antiqua" w:cs="Times New Roman"/>
          <w:sz w:val="24"/>
          <w:szCs w:val="24"/>
        </w:rPr>
      </w:pPr>
      <w:r w:rsidRPr="008A722B">
        <w:rPr>
          <w:rFonts w:ascii="Book Antiqua" w:hAnsi="Book Antiqua"/>
          <w:sz w:val="24"/>
          <w:szCs w:val="24"/>
        </w:rPr>
        <w:t xml:space="preserve">specyfikę postępowania dowodowego w sprawach gospodarczych, w tym w szczególności takie jak: </w:t>
      </w:r>
    </w:p>
    <w:p w:rsidR="00830E6C" w:rsidRPr="008A722B" w:rsidRDefault="00830E6C" w:rsidP="00830E6C">
      <w:pPr>
        <w:pStyle w:val="Akapitzlist"/>
        <w:spacing w:after="0" w:line="360" w:lineRule="auto"/>
        <w:ind w:left="1068"/>
        <w:jc w:val="both"/>
        <w:rPr>
          <w:rFonts w:ascii="Book Antiqua" w:hAnsi="Book Antiqua"/>
          <w:sz w:val="24"/>
          <w:szCs w:val="24"/>
        </w:rPr>
      </w:pPr>
      <w:r w:rsidRPr="008A722B">
        <w:rPr>
          <w:rFonts w:ascii="Book Antiqua" w:hAnsi="Book Antiqua"/>
          <w:sz w:val="24"/>
          <w:szCs w:val="24"/>
        </w:rPr>
        <w:t xml:space="preserve">a) umowa dowodowa, </w:t>
      </w:r>
    </w:p>
    <w:p w:rsidR="00830E6C" w:rsidRPr="008A722B" w:rsidRDefault="00830E6C" w:rsidP="00830E6C">
      <w:pPr>
        <w:pStyle w:val="Akapitzlist"/>
        <w:spacing w:after="0" w:line="360" w:lineRule="auto"/>
        <w:ind w:left="1068"/>
        <w:jc w:val="both"/>
        <w:rPr>
          <w:rFonts w:ascii="Book Antiqua" w:hAnsi="Book Antiqua"/>
          <w:sz w:val="24"/>
          <w:szCs w:val="24"/>
        </w:rPr>
      </w:pPr>
      <w:r w:rsidRPr="008A722B">
        <w:rPr>
          <w:rFonts w:ascii="Book Antiqua" w:hAnsi="Book Antiqua"/>
          <w:sz w:val="24"/>
          <w:szCs w:val="24"/>
        </w:rPr>
        <w:t>b) preferencja nieosobowych źródeł dowodowych (art. 458</w:t>
      </w:r>
      <w:r w:rsidRPr="008A722B">
        <w:rPr>
          <w:rFonts w:ascii="Book Antiqua" w:hAnsi="Book Antiqua"/>
          <w:sz w:val="24"/>
          <w:szCs w:val="24"/>
          <w:vertAlign w:val="superscript"/>
        </w:rPr>
        <w:t>10</w:t>
      </w:r>
      <w:r w:rsidRPr="008A722B">
        <w:rPr>
          <w:rFonts w:ascii="Book Antiqua" w:hAnsi="Book Antiqua"/>
          <w:sz w:val="24"/>
          <w:szCs w:val="24"/>
        </w:rPr>
        <w:t xml:space="preserve"> </w:t>
      </w:r>
      <w:r w:rsidR="00E64F07" w:rsidRPr="008A722B">
        <w:rPr>
          <w:rFonts w:ascii="Book Antiqua" w:hAnsi="Book Antiqua"/>
          <w:sz w:val="24"/>
          <w:szCs w:val="24"/>
        </w:rPr>
        <w:t>–</w:t>
      </w:r>
      <w:r w:rsidRPr="008A722B">
        <w:rPr>
          <w:rFonts w:ascii="Book Antiqua" w:hAnsi="Book Antiqua"/>
          <w:sz w:val="24"/>
          <w:szCs w:val="24"/>
        </w:rPr>
        <w:t xml:space="preserve"> </w:t>
      </w:r>
      <w:r w:rsidR="00E64F07" w:rsidRPr="008A722B">
        <w:rPr>
          <w:rFonts w:ascii="Book Antiqua" w:hAnsi="Book Antiqua"/>
          <w:sz w:val="24"/>
          <w:szCs w:val="24"/>
        </w:rPr>
        <w:t>458</w:t>
      </w:r>
      <w:r w:rsidR="00E64F07" w:rsidRPr="008A722B">
        <w:rPr>
          <w:rFonts w:ascii="Book Antiqua" w:hAnsi="Book Antiqua"/>
          <w:sz w:val="24"/>
          <w:szCs w:val="24"/>
          <w:vertAlign w:val="superscript"/>
        </w:rPr>
        <w:t xml:space="preserve"> 11</w:t>
      </w:r>
      <w:r w:rsidR="008A722B" w:rsidRPr="008A722B">
        <w:rPr>
          <w:rFonts w:ascii="Book Antiqua" w:hAnsi="Book Antiqua"/>
          <w:sz w:val="24"/>
          <w:szCs w:val="24"/>
        </w:rPr>
        <w:t xml:space="preserve">  k.</w:t>
      </w:r>
      <w:r w:rsidRPr="008A722B">
        <w:rPr>
          <w:rFonts w:ascii="Book Antiqua" w:hAnsi="Book Antiqua"/>
          <w:sz w:val="24"/>
          <w:szCs w:val="24"/>
        </w:rPr>
        <w:t xml:space="preserve">p.c.), </w:t>
      </w:r>
    </w:p>
    <w:p w:rsidR="00830E6C" w:rsidRPr="008A722B" w:rsidRDefault="00830E6C" w:rsidP="00830E6C">
      <w:pPr>
        <w:pStyle w:val="Akapitzlist"/>
        <w:spacing w:after="0" w:line="360" w:lineRule="auto"/>
        <w:ind w:left="1068"/>
        <w:jc w:val="both"/>
        <w:rPr>
          <w:rFonts w:ascii="Book Antiqua" w:hAnsi="Book Antiqua" w:cs="Times New Roman"/>
          <w:sz w:val="24"/>
          <w:szCs w:val="24"/>
        </w:rPr>
      </w:pPr>
      <w:r w:rsidRPr="008A722B">
        <w:rPr>
          <w:rFonts w:ascii="Book Antiqua" w:hAnsi="Book Antiqua"/>
          <w:sz w:val="24"/>
          <w:szCs w:val="24"/>
        </w:rPr>
        <w:t xml:space="preserve">c) dowód z ksiąg rachunkowych i innych dokumentów finansowych przedsiębiorstwa; </w:t>
      </w:r>
    </w:p>
    <w:p w:rsidR="00830E6C" w:rsidRPr="008A722B" w:rsidRDefault="00830E6C" w:rsidP="00830E6C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Book Antiqua" w:hAnsi="Book Antiqua" w:cs="Times New Roman"/>
          <w:sz w:val="24"/>
          <w:szCs w:val="24"/>
        </w:rPr>
      </w:pPr>
      <w:r w:rsidRPr="008A722B">
        <w:rPr>
          <w:rFonts w:ascii="Book Antiqua" w:hAnsi="Book Antiqua"/>
          <w:sz w:val="24"/>
          <w:szCs w:val="24"/>
        </w:rPr>
        <w:t>specyfik</w:t>
      </w:r>
      <w:r w:rsidR="008A722B">
        <w:rPr>
          <w:rFonts w:ascii="Book Antiqua" w:hAnsi="Book Antiqua"/>
          <w:sz w:val="24"/>
          <w:szCs w:val="24"/>
        </w:rPr>
        <w:t>a</w:t>
      </w:r>
      <w:r w:rsidRPr="008A722B">
        <w:rPr>
          <w:rFonts w:ascii="Book Antiqua" w:hAnsi="Book Antiqua"/>
          <w:sz w:val="24"/>
          <w:szCs w:val="24"/>
        </w:rPr>
        <w:t xml:space="preserve"> przebiegu postępowania w sprawach dotyczących odpowiedzialności kontraktowej i deliktowej przedsiębiorców, w szczególności postępowania dowodowego (np. dowód z akt likwidacji szkody, dowód z opinii biegłego, w tym zwłaszcza z zakresu rachunkowości i/lub ekonomiki przedsiębiorstw albo rekonstrukcji wypadków i szacowania szkód komunikacyjnych, dowód z opinii instytutu) oraz zabezpieczania roszczeń w tego rodzaju sprawach; </w:t>
      </w:r>
    </w:p>
    <w:p w:rsidR="00830E6C" w:rsidRPr="008A722B" w:rsidRDefault="00830E6C" w:rsidP="00830E6C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Book Antiqua" w:hAnsi="Book Antiqua" w:cs="Times New Roman"/>
          <w:sz w:val="24"/>
          <w:szCs w:val="24"/>
        </w:rPr>
      </w:pPr>
      <w:r w:rsidRPr="008A722B">
        <w:rPr>
          <w:rFonts w:ascii="Book Antiqua" w:hAnsi="Book Antiqua"/>
          <w:sz w:val="24"/>
          <w:szCs w:val="24"/>
        </w:rPr>
        <w:t>procesowy zarzut potrącenia (art. 203</w:t>
      </w:r>
      <w:r w:rsidRPr="008A722B">
        <w:rPr>
          <w:rFonts w:ascii="Book Antiqua" w:hAnsi="Book Antiqua"/>
          <w:sz w:val="24"/>
          <w:szCs w:val="24"/>
          <w:vertAlign w:val="superscript"/>
        </w:rPr>
        <w:t>1</w:t>
      </w:r>
      <w:r w:rsidRPr="008A722B">
        <w:rPr>
          <w:rFonts w:ascii="Book Antiqua" w:hAnsi="Book Antiqua"/>
          <w:sz w:val="24"/>
          <w:szCs w:val="24"/>
        </w:rPr>
        <w:t xml:space="preserve"> k.p.c.).</w:t>
      </w:r>
    </w:p>
    <w:p w:rsidR="008A722B" w:rsidRPr="008A722B" w:rsidRDefault="008A722B" w:rsidP="008A722B">
      <w:pPr>
        <w:pStyle w:val="Akapitzlist"/>
        <w:spacing w:after="0" w:line="360" w:lineRule="auto"/>
        <w:ind w:left="1068"/>
        <w:jc w:val="both"/>
        <w:rPr>
          <w:rFonts w:ascii="Book Antiqua" w:hAnsi="Book Antiqua" w:cs="Times New Roman"/>
          <w:sz w:val="24"/>
          <w:szCs w:val="24"/>
        </w:rPr>
      </w:pPr>
    </w:p>
    <w:p w:rsidR="00CE7AB6" w:rsidRPr="008A722B" w:rsidRDefault="008A722B" w:rsidP="00CE7AB6">
      <w:pPr>
        <w:spacing w:after="0" w:line="360" w:lineRule="auto"/>
        <w:ind w:firstLine="708"/>
        <w:contextualSpacing/>
        <w:jc w:val="both"/>
        <w:rPr>
          <w:rFonts w:ascii="Book Antiqua" w:hAnsi="Book Antiqua" w:cs="Times New Roman"/>
          <w:sz w:val="24"/>
          <w:szCs w:val="24"/>
        </w:rPr>
      </w:pPr>
      <w:r w:rsidRPr="008A722B">
        <w:rPr>
          <w:rFonts w:ascii="Book Antiqua" w:hAnsi="Book Antiqua"/>
          <w:sz w:val="24"/>
          <w:szCs w:val="24"/>
        </w:rPr>
        <w:t>W toku praktyki należy zwracać aplikantom szczególną uwagę na zagadnienia dotyczące metodyki prowadzenia postępowania w sprawach gospodarczych. Aplikanci powinni nabyć praktyczną umiejętność organizowania i planowania postępowania w tego rodzaju sprawach, tak aby toczyło się ono sprawnie i szybko, z uwzględnieniem dyrektywy wynikającej z treści art. 458</w:t>
      </w:r>
      <w:r w:rsidRPr="008A722B">
        <w:rPr>
          <w:rFonts w:ascii="Book Antiqua" w:hAnsi="Book Antiqua"/>
          <w:sz w:val="24"/>
          <w:szCs w:val="24"/>
          <w:vertAlign w:val="superscript"/>
        </w:rPr>
        <w:t>8</w:t>
      </w:r>
      <w:r w:rsidRPr="008A722B">
        <w:rPr>
          <w:rFonts w:ascii="Book Antiqua" w:hAnsi="Book Antiqua"/>
          <w:sz w:val="24"/>
          <w:szCs w:val="24"/>
        </w:rPr>
        <w:t xml:space="preserve"> § 4 k.p.c.</w:t>
      </w:r>
    </w:p>
    <w:p w:rsidR="00CE7AB6" w:rsidRPr="008A722B" w:rsidRDefault="00CE7AB6" w:rsidP="00CE7AB6">
      <w:pPr>
        <w:spacing w:after="0" w:line="360" w:lineRule="auto"/>
        <w:contextualSpacing/>
        <w:jc w:val="both"/>
        <w:rPr>
          <w:rFonts w:ascii="Book Antiqua" w:hAnsi="Book Antiqua" w:cs="Times New Roman"/>
          <w:sz w:val="24"/>
          <w:szCs w:val="24"/>
        </w:rPr>
      </w:pPr>
    </w:p>
    <w:p w:rsidR="008A722B" w:rsidRPr="008A722B" w:rsidRDefault="008A722B" w:rsidP="008A722B">
      <w:pPr>
        <w:spacing w:after="0" w:line="360" w:lineRule="auto"/>
        <w:jc w:val="both"/>
        <w:rPr>
          <w:rFonts w:ascii="Book Antiqua" w:hAnsi="Book Antiqua"/>
          <w:sz w:val="24"/>
          <w:szCs w:val="24"/>
        </w:rPr>
      </w:pPr>
      <w:r w:rsidRPr="008A722B">
        <w:rPr>
          <w:rFonts w:ascii="Book Antiqua" w:hAnsi="Book Antiqua"/>
          <w:sz w:val="24"/>
          <w:szCs w:val="24"/>
        </w:rPr>
        <w:t>Czynności, które powinny zostać zlecone aplikantowi w trakcie praktyki (czynności obowiązkowe)</w:t>
      </w:r>
      <w:r>
        <w:rPr>
          <w:rFonts w:ascii="Book Antiqua" w:hAnsi="Book Antiqua"/>
          <w:sz w:val="24"/>
          <w:szCs w:val="24"/>
        </w:rPr>
        <w:t xml:space="preserve"> to </w:t>
      </w:r>
      <w:r w:rsidRPr="008A722B">
        <w:rPr>
          <w:rFonts w:ascii="Book Antiqua" w:hAnsi="Book Antiqua"/>
          <w:sz w:val="24"/>
          <w:szCs w:val="24"/>
        </w:rPr>
        <w:t>sporządzenie projektu orzeczenia wraz z uzasadnieniem (</w:t>
      </w:r>
      <w:r>
        <w:rPr>
          <w:rFonts w:ascii="Book Antiqua" w:hAnsi="Book Antiqua"/>
          <w:sz w:val="24"/>
          <w:szCs w:val="24"/>
        </w:rPr>
        <w:t xml:space="preserve">oraz </w:t>
      </w:r>
      <w:r w:rsidRPr="008A722B">
        <w:rPr>
          <w:rFonts w:ascii="Book Antiqua" w:hAnsi="Book Antiqua"/>
          <w:sz w:val="24"/>
          <w:szCs w:val="24"/>
        </w:rPr>
        <w:t xml:space="preserve"> zarządzeniami) w co najmniej dwóch z niżej wskazanych spraw: </w:t>
      </w:r>
    </w:p>
    <w:p w:rsidR="008A722B" w:rsidRPr="008A722B" w:rsidRDefault="008A722B" w:rsidP="00654D9B">
      <w:pPr>
        <w:pStyle w:val="Akapitzlist"/>
        <w:numPr>
          <w:ilvl w:val="1"/>
          <w:numId w:val="12"/>
        </w:numPr>
        <w:spacing w:after="0" w:line="360" w:lineRule="auto"/>
        <w:jc w:val="both"/>
        <w:rPr>
          <w:rFonts w:ascii="Book Antiqua" w:hAnsi="Book Antiqua"/>
          <w:sz w:val="24"/>
          <w:szCs w:val="24"/>
        </w:rPr>
      </w:pPr>
      <w:r w:rsidRPr="008A722B">
        <w:rPr>
          <w:rFonts w:ascii="Book Antiqua" w:hAnsi="Book Antiqua"/>
          <w:sz w:val="24"/>
          <w:szCs w:val="24"/>
        </w:rPr>
        <w:t xml:space="preserve">o roszczenia z umowy sprzedaży, </w:t>
      </w:r>
    </w:p>
    <w:p w:rsidR="008A722B" w:rsidRPr="008A722B" w:rsidRDefault="008A722B" w:rsidP="00654D9B">
      <w:pPr>
        <w:pStyle w:val="Akapitzlist"/>
        <w:numPr>
          <w:ilvl w:val="1"/>
          <w:numId w:val="12"/>
        </w:numPr>
        <w:spacing w:after="0" w:line="360" w:lineRule="auto"/>
        <w:jc w:val="both"/>
        <w:rPr>
          <w:rFonts w:ascii="Book Antiqua" w:hAnsi="Book Antiqua"/>
          <w:sz w:val="24"/>
          <w:szCs w:val="24"/>
        </w:rPr>
      </w:pPr>
      <w:r w:rsidRPr="008A722B">
        <w:rPr>
          <w:rFonts w:ascii="Book Antiqua" w:hAnsi="Book Antiqua"/>
          <w:sz w:val="24"/>
          <w:szCs w:val="24"/>
        </w:rPr>
        <w:t xml:space="preserve">o roszczenia z umowy o dzieło albo o roboty budowlane, </w:t>
      </w:r>
    </w:p>
    <w:p w:rsidR="008A722B" w:rsidRPr="008A722B" w:rsidRDefault="008A722B" w:rsidP="00654D9B">
      <w:pPr>
        <w:pStyle w:val="Akapitzlist"/>
        <w:numPr>
          <w:ilvl w:val="1"/>
          <w:numId w:val="12"/>
        </w:numPr>
        <w:spacing w:after="0" w:line="360" w:lineRule="auto"/>
        <w:jc w:val="both"/>
        <w:rPr>
          <w:rFonts w:ascii="Book Antiqua" w:hAnsi="Book Antiqua"/>
          <w:sz w:val="24"/>
          <w:szCs w:val="24"/>
        </w:rPr>
      </w:pPr>
      <w:r w:rsidRPr="008A722B">
        <w:rPr>
          <w:rFonts w:ascii="Book Antiqua" w:hAnsi="Book Antiqua"/>
          <w:sz w:val="24"/>
          <w:szCs w:val="24"/>
        </w:rPr>
        <w:t xml:space="preserve">o naprawienie szkody wyrządzonej czynem niedozwolonym (np. przeciwko ubezpieczycielowi, sprawcy szkody komunikacyjnej), </w:t>
      </w:r>
    </w:p>
    <w:p w:rsidR="008A722B" w:rsidRPr="008A722B" w:rsidRDefault="008A722B" w:rsidP="00654D9B">
      <w:pPr>
        <w:pStyle w:val="Akapitzlist"/>
        <w:numPr>
          <w:ilvl w:val="1"/>
          <w:numId w:val="12"/>
        </w:numPr>
        <w:spacing w:after="0" w:line="360" w:lineRule="auto"/>
        <w:jc w:val="both"/>
        <w:rPr>
          <w:rFonts w:ascii="Book Antiqua" w:hAnsi="Book Antiqua"/>
          <w:sz w:val="24"/>
          <w:szCs w:val="24"/>
        </w:rPr>
      </w:pPr>
      <w:r w:rsidRPr="008A722B">
        <w:rPr>
          <w:rFonts w:ascii="Book Antiqua" w:hAnsi="Book Antiqua"/>
          <w:sz w:val="24"/>
          <w:szCs w:val="24"/>
        </w:rPr>
        <w:t xml:space="preserve">o roszczenia z umowy przewozu albo spedycji, </w:t>
      </w:r>
    </w:p>
    <w:p w:rsidR="00CE7AB6" w:rsidRPr="008A722B" w:rsidRDefault="008A722B" w:rsidP="00654D9B">
      <w:pPr>
        <w:pStyle w:val="Akapitzlist"/>
        <w:numPr>
          <w:ilvl w:val="1"/>
          <w:numId w:val="12"/>
        </w:numPr>
        <w:spacing w:after="0" w:line="360" w:lineRule="auto"/>
        <w:jc w:val="both"/>
        <w:rPr>
          <w:rFonts w:ascii="Book Antiqua" w:hAnsi="Book Antiqua" w:cs="Times New Roman"/>
          <w:sz w:val="24"/>
          <w:szCs w:val="24"/>
        </w:rPr>
      </w:pPr>
      <w:r w:rsidRPr="008A722B">
        <w:rPr>
          <w:rFonts w:ascii="Book Antiqua" w:hAnsi="Book Antiqua"/>
          <w:sz w:val="24"/>
          <w:szCs w:val="24"/>
        </w:rPr>
        <w:t>o roszczenia z innych umów w obrocie gospodarczym (np. leasingu, agencji, faktoringu).</w:t>
      </w:r>
      <w:r w:rsidR="00CE7AB6" w:rsidRPr="008A722B">
        <w:rPr>
          <w:rFonts w:ascii="Book Antiqua" w:hAnsi="Book Antiqua" w:cs="Times New Roman"/>
          <w:sz w:val="24"/>
          <w:szCs w:val="24"/>
        </w:rPr>
        <w:t>.</w:t>
      </w:r>
    </w:p>
    <w:p w:rsidR="00CE7AB6" w:rsidRPr="008A722B" w:rsidRDefault="00CE7AB6" w:rsidP="00CE7AB6">
      <w:pPr>
        <w:spacing w:after="0" w:line="360" w:lineRule="auto"/>
        <w:contextualSpacing/>
        <w:jc w:val="both"/>
        <w:rPr>
          <w:rFonts w:ascii="Book Antiqua" w:hAnsi="Book Antiqua" w:cs="Times New Roman"/>
          <w:sz w:val="24"/>
          <w:szCs w:val="24"/>
        </w:rPr>
      </w:pPr>
    </w:p>
    <w:p w:rsidR="008A722B" w:rsidRPr="008A722B" w:rsidRDefault="008A722B" w:rsidP="00CE7AB6">
      <w:pPr>
        <w:spacing w:after="0" w:line="360" w:lineRule="auto"/>
        <w:jc w:val="both"/>
        <w:rPr>
          <w:rFonts w:ascii="Book Antiqua" w:hAnsi="Book Antiqua"/>
          <w:sz w:val="24"/>
          <w:szCs w:val="24"/>
        </w:rPr>
      </w:pPr>
      <w:r w:rsidRPr="008A722B">
        <w:rPr>
          <w:rFonts w:ascii="Book Antiqua" w:hAnsi="Book Antiqua"/>
          <w:sz w:val="24"/>
          <w:szCs w:val="24"/>
        </w:rPr>
        <w:t xml:space="preserve">Dodatkowo zaleca się powierzenie aplikantowi czynności obejmujących: </w:t>
      </w:r>
    </w:p>
    <w:p w:rsidR="008A722B" w:rsidRPr="00654D9B" w:rsidRDefault="008A722B" w:rsidP="00654D9B">
      <w:pPr>
        <w:pStyle w:val="Akapitzlist"/>
        <w:numPr>
          <w:ilvl w:val="0"/>
          <w:numId w:val="14"/>
        </w:numPr>
        <w:spacing w:after="0" w:line="360" w:lineRule="auto"/>
        <w:jc w:val="both"/>
        <w:rPr>
          <w:rFonts w:ascii="Book Antiqua" w:hAnsi="Book Antiqua"/>
          <w:sz w:val="24"/>
          <w:szCs w:val="24"/>
        </w:rPr>
      </w:pPr>
      <w:r w:rsidRPr="00654D9B">
        <w:rPr>
          <w:rFonts w:ascii="Book Antiqua" w:hAnsi="Book Antiqua"/>
          <w:sz w:val="24"/>
          <w:szCs w:val="24"/>
        </w:rPr>
        <w:t xml:space="preserve">sporządzanie projektów postanowień w przedmiocie zabezpieczenia w sprawach gospodarczych, </w:t>
      </w:r>
    </w:p>
    <w:p w:rsidR="008A722B" w:rsidRPr="00654D9B" w:rsidRDefault="008A722B" w:rsidP="00654D9B">
      <w:pPr>
        <w:pStyle w:val="Akapitzlist"/>
        <w:numPr>
          <w:ilvl w:val="0"/>
          <w:numId w:val="14"/>
        </w:numPr>
        <w:spacing w:after="0" w:line="360" w:lineRule="auto"/>
        <w:jc w:val="both"/>
        <w:rPr>
          <w:rFonts w:ascii="Book Antiqua" w:hAnsi="Book Antiqua"/>
          <w:sz w:val="24"/>
          <w:szCs w:val="24"/>
        </w:rPr>
      </w:pPr>
      <w:r w:rsidRPr="00654D9B">
        <w:rPr>
          <w:rFonts w:ascii="Book Antiqua" w:hAnsi="Book Antiqua"/>
          <w:sz w:val="24"/>
          <w:szCs w:val="24"/>
        </w:rPr>
        <w:t xml:space="preserve">sporządzanie projektów postanowień o dopuszczeniu dowodu z opinii biegłego/instytutu, wraz z odpowiednimi zarządzeniami: </w:t>
      </w:r>
    </w:p>
    <w:p w:rsidR="008A722B" w:rsidRPr="00654D9B" w:rsidRDefault="008A722B" w:rsidP="00654D9B">
      <w:pPr>
        <w:pStyle w:val="Akapitzlist"/>
        <w:numPr>
          <w:ilvl w:val="1"/>
          <w:numId w:val="10"/>
        </w:numPr>
        <w:spacing w:after="0" w:line="360" w:lineRule="auto"/>
        <w:jc w:val="both"/>
        <w:rPr>
          <w:rFonts w:ascii="Book Antiqua" w:hAnsi="Book Antiqua"/>
          <w:sz w:val="24"/>
          <w:szCs w:val="24"/>
        </w:rPr>
      </w:pPr>
      <w:r w:rsidRPr="00654D9B">
        <w:rPr>
          <w:rFonts w:ascii="Book Antiqua" w:hAnsi="Book Antiqua"/>
          <w:sz w:val="24"/>
          <w:szCs w:val="24"/>
        </w:rPr>
        <w:t xml:space="preserve">z zakresu rachunkowości lub ekonomiki przedsiębiorstw (np. w sprawie o wynagrodzenie agenta), </w:t>
      </w:r>
    </w:p>
    <w:p w:rsidR="008A722B" w:rsidRPr="00654D9B" w:rsidRDefault="008A722B" w:rsidP="00654D9B">
      <w:pPr>
        <w:pStyle w:val="Akapitzlist"/>
        <w:numPr>
          <w:ilvl w:val="1"/>
          <w:numId w:val="10"/>
        </w:numPr>
        <w:spacing w:after="0" w:line="360" w:lineRule="auto"/>
        <w:jc w:val="both"/>
        <w:rPr>
          <w:rFonts w:ascii="Book Antiqua" w:hAnsi="Book Antiqua"/>
          <w:sz w:val="24"/>
          <w:szCs w:val="24"/>
        </w:rPr>
      </w:pPr>
      <w:r w:rsidRPr="00654D9B">
        <w:rPr>
          <w:rFonts w:ascii="Book Antiqua" w:hAnsi="Book Antiqua"/>
          <w:sz w:val="24"/>
          <w:szCs w:val="24"/>
        </w:rPr>
        <w:t xml:space="preserve">z zakresu rekonstrukcji wypadków drogowych i wyceny szkód komunikacyjnych; </w:t>
      </w:r>
    </w:p>
    <w:p w:rsidR="00CE7AB6" w:rsidRPr="008A722B" w:rsidRDefault="008A722B" w:rsidP="00654D9B">
      <w:pPr>
        <w:spacing w:after="0" w:line="360" w:lineRule="auto"/>
        <w:ind w:left="708"/>
        <w:jc w:val="both"/>
        <w:rPr>
          <w:rFonts w:ascii="Book Antiqua" w:hAnsi="Book Antiqua"/>
          <w:sz w:val="24"/>
          <w:szCs w:val="24"/>
        </w:rPr>
      </w:pPr>
      <w:r w:rsidRPr="008A722B">
        <w:rPr>
          <w:rFonts w:ascii="Book Antiqua" w:hAnsi="Book Antiqua"/>
          <w:sz w:val="24"/>
          <w:szCs w:val="24"/>
        </w:rPr>
        <w:t xml:space="preserve">3) sporządzanie projektów postanowień w przedmiocie zwolnienia od kosztów </w:t>
      </w:r>
      <w:r w:rsidR="00654D9B">
        <w:rPr>
          <w:rFonts w:ascii="Book Antiqua" w:hAnsi="Book Antiqua"/>
          <w:sz w:val="24"/>
          <w:szCs w:val="24"/>
        </w:rPr>
        <w:t xml:space="preserve">  </w:t>
      </w:r>
      <w:r w:rsidRPr="008A722B">
        <w:rPr>
          <w:rFonts w:ascii="Book Antiqua" w:hAnsi="Book Antiqua"/>
          <w:sz w:val="24"/>
          <w:szCs w:val="24"/>
        </w:rPr>
        <w:t>sądowych, wymagających analizy dokumentów finansowych (bilans, rachunek zysków i strat, rachunek przepływów pieniężnych, raporty kasowe itp.).</w:t>
      </w:r>
    </w:p>
    <w:p w:rsidR="008A722B" w:rsidRPr="008A722B" w:rsidRDefault="008A722B" w:rsidP="00CE7AB6">
      <w:pPr>
        <w:spacing w:after="0" w:line="360" w:lineRule="auto"/>
        <w:jc w:val="both"/>
        <w:rPr>
          <w:rFonts w:ascii="Book Antiqua" w:hAnsi="Book Antiqua" w:cs="Times New Roman"/>
          <w:sz w:val="24"/>
          <w:szCs w:val="24"/>
        </w:rPr>
      </w:pPr>
    </w:p>
    <w:p w:rsidR="00CE7AB6" w:rsidRPr="008A722B" w:rsidRDefault="00CE7AB6" w:rsidP="00CE7AB6">
      <w:pPr>
        <w:spacing w:after="0" w:line="360" w:lineRule="auto"/>
        <w:ind w:firstLine="708"/>
        <w:contextualSpacing/>
        <w:jc w:val="both"/>
        <w:rPr>
          <w:rFonts w:ascii="Book Antiqua" w:hAnsi="Book Antiqua" w:cs="Times New Roman"/>
          <w:sz w:val="24"/>
          <w:szCs w:val="24"/>
        </w:rPr>
      </w:pPr>
      <w:r w:rsidRPr="008A722B">
        <w:rPr>
          <w:rFonts w:ascii="Book Antiqua" w:hAnsi="Book Antiqua" w:cs="Times New Roman"/>
          <w:sz w:val="24"/>
          <w:szCs w:val="24"/>
        </w:rPr>
        <w:t>Ponadto uprzejmie przypominam, że przed rozpoczęciem praktyki patron praktyki ma obowiązek omówić z aplikantem cel, szczegółowy zakres tematyczny praktyki i jej planowany przebieg oraz zapoznać aplikanta ze swoim stanowiskiem pracy i strukturą organizacyjną jednostki, w której jest zatrudniony.</w:t>
      </w:r>
    </w:p>
    <w:p w:rsidR="00CE7AB6" w:rsidRPr="008A722B" w:rsidRDefault="00CE7AB6" w:rsidP="00CE7AB6">
      <w:pPr>
        <w:spacing w:after="0" w:line="360" w:lineRule="auto"/>
        <w:ind w:firstLine="708"/>
        <w:contextualSpacing/>
        <w:jc w:val="both"/>
        <w:rPr>
          <w:rFonts w:ascii="Book Antiqua" w:hAnsi="Book Antiqua" w:cs="Times New Roman"/>
          <w:b/>
          <w:sz w:val="24"/>
          <w:szCs w:val="24"/>
        </w:rPr>
      </w:pPr>
      <w:r w:rsidRPr="008A722B">
        <w:rPr>
          <w:rFonts w:ascii="Book Antiqua" w:hAnsi="Book Antiqua" w:cs="Times New Roman"/>
          <w:b/>
          <w:sz w:val="24"/>
          <w:szCs w:val="24"/>
        </w:rPr>
        <w:t>Po wykonaniu przez aplikanta czynności należy szczegółowo omówić z nim wyniki jego pracy.</w:t>
      </w:r>
    </w:p>
    <w:p w:rsidR="008A722B" w:rsidRPr="008A722B" w:rsidRDefault="008A722B" w:rsidP="00CE7AB6">
      <w:pPr>
        <w:spacing w:after="0" w:line="360" w:lineRule="auto"/>
        <w:ind w:firstLine="708"/>
        <w:contextualSpacing/>
        <w:jc w:val="both"/>
        <w:rPr>
          <w:rFonts w:ascii="Book Antiqua" w:hAnsi="Book Antiqua" w:cs="Times New Roman"/>
          <w:b/>
          <w:sz w:val="24"/>
          <w:szCs w:val="24"/>
        </w:rPr>
      </w:pPr>
    </w:p>
    <w:p w:rsidR="00CE7AB6" w:rsidRPr="008A722B" w:rsidRDefault="008A722B" w:rsidP="008A722B">
      <w:pPr>
        <w:spacing w:after="0" w:line="360" w:lineRule="auto"/>
        <w:ind w:firstLine="708"/>
        <w:contextualSpacing/>
        <w:jc w:val="both"/>
        <w:rPr>
          <w:rFonts w:ascii="Book Antiqua" w:hAnsi="Book Antiqua" w:cs="Times New Roman"/>
          <w:sz w:val="24"/>
          <w:szCs w:val="24"/>
        </w:rPr>
      </w:pPr>
      <w:r w:rsidRPr="008A722B">
        <w:rPr>
          <w:rFonts w:ascii="Book Antiqua" w:hAnsi="Book Antiqua"/>
          <w:sz w:val="24"/>
          <w:szCs w:val="24"/>
        </w:rPr>
        <w:t>Ponadto informuję, że przedmiotem sprawdzianu, który aplikanci będą pisać po zakończeniu praktyki  będzie przygotowanie, na podstawie spreparowanych akt, projektu wyroku z uzasadnieniem lub omówieniem w sprawie objętej tematyką 30 zjazdu, wraz z zarządzeniami. Stąd szczególny nacisk należy położyć na to, aby podczas praktyki aplikanci opanowali w możliwie najwyższym stopniu umiejętność samodzielnego opracowywania projektów orzeczeń kończących postępowanie w tego rodzaju sprawach, wraz z uzasadnieniem.</w:t>
      </w:r>
    </w:p>
    <w:p w:rsidR="00CE7AB6" w:rsidRPr="008A722B" w:rsidRDefault="00CE7AB6" w:rsidP="00CE7AB6">
      <w:pPr>
        <w:spacing w:after="0" w:line="360" w:lineRule="auto"/>
        <w:contextualSpacing/>
        <w:jc w:val="both"/>
        <w:rPr>
          <w:rFonts w:ascii="Book Antiqua" w:hAnsi="Book Antiqua" w:cs="Times New Roman"/>
          <w:sz w:val="24"/>
          <w:szCs w:val="24"/>
        </w:rPr>
      </w:pPr>
    </w:p>
    <w:p w:rsidR="00CE7AB6" w:rsidRPr="008A722B" w:rsidRDefault="00CE7AB6" w:rsidP="00CE7AB6">
      <w:pPr>
        <w:spacing w:after="0" w:line="360" w:lineRule="auto"/>
        <w:ind w:left="3540"/>
        <w:contextualSpacing/>
        <w:jc w:val="center"/>
        <w:rPr>
          <w:rFonts w:ascii="Book Antiqua" w:eastAsia="Times New Roman" w:hAnsi="Book Antiqua" w:cs="Times New Roman"/>
          <w:sz w:val="24"/>
          <w:szCs w:val="24"/>
          <w:lang w:eastAsia="pl-PL"/>
        </w:rPr>
      </w:pPr>
      <w:r w:rsidRPr="008A722B">
        <w:rPr>
          <w:rFonts w:ascii="Book Antiqua" w:eastAsia="Times New Roman" w:hAnsi="Book Antiqua" w:cs="Times New Roman"/>
          <w:sz w:val="24"/>
          <w:szCs w:val="24"/>
          <w:lang w:eastAsia="pl-PL"/>
        </w:rPr>
        <w:t>Kierownik Działu Dydaktycznego OAS</w:t>
      </w:r>
    </w:p>
    <w:p w:rsidR="00CE7AB6" w:rsidRPr="008A722B" w:rsidRDefault="00CE7AB6" w:rsidP="00CE7AB6">
      <w:pPr>
        <w:spacing w:after="0" w:line="360" w:lineRule="auto"/>
        <w:ind w:left="3538"/>
        <w:contextualSpacing/>
        <w:jc w:val="center"/>
        <w:rPr>
          <w:rFonts w:ascii="Book Antiqua" w:eastAsia="Times New Roman" w:hAnsi="Book Antiqua" w:cs="Times New Roman"/>
          <w:sz w:val="24"/>
          <w:szCs w:val="24"/>
          <w:lang w:eastAsia="pl-PL"/>
        </w:rPr>
      </w:pPr>
    </w:p>
    <w:p w:rsidR="00CE7AB6" w:rsidRPr="008A722B" w:rsidRDefault="00CE7AB6" w:rsidP="00CE7AB6">
      <w:pPr>
        <w:spacing w:after="0" w:line="360" w:lineRule="auto"/>
        <w:ind w:left="3538"/>
        <w:contextualSpacing/>
        <w:jc w:val="center"/>
        <w:rPr>
          <w:rFonts w:ascii="Book Antiqua" w:eastAsia="Times New Roman" w:hAnsi="Book Antiqua" w:cs="Times New Roman"/>
          <w:sz w:val="24"/>
          <w:szCs w:val="24"/>
          <w:lang w:eastAsia="pl-PL"/>
        </w:rPr>
      </w:pPr>
      <w:r w:rsidRPr="008A722B">
        <w:rPr>
          <w:rFonts w:ascii="Book Antiqua" w:eastAsia="Times New Roman" w:hAnsi="Book Antiqua" w:cs="Times New Roman"/>
          <w:sz w:val="24"/>
          <w:szCs w:val="24"/>
          <w:lang w:eastAsia="pl-PL"/>
        </w:rPr>
        <w:t>Magdalena Nagaduś</w:t>
      </w:r>
    </w:p>
    <w:p w:rsidR="00CE7AB6" w:rsidRPr="008A722B" w:rsidRDefault="00CE7AB6" w:rsidP="00CE7AB6">
      <w:pPr>
        <w:spacing w:after="0" w:line="360" w:lineRule="auto"/>
        <w:ind w:left="3540"/>
        <w:contextualSpacing/>
        <w:jc w:val="center"/>
        <w:rPr>
          <w:rFonts w:ascii="Book Antiqua" w:eastAsia="Times New Roman" w:hAnsi="Book Antiqua" w:cs="Times New Roman"/>
          <w:sz w:val="24"/>
          <w:szCs w:val="24"/>
          <w:lang w:eastAsia="pl-PL"/>
        </w:rPr>
      </w:pPr>
      <w:r w:rsidRPr="008A722B">
        <w:rPr>
          <w:rFonts w:ascii="Book Antiqua" w:eastAsia="Times New Roman" w:hAnsi="Book Antiqua" w:cs="Times New Roman"/>
          <w:sz w:val="24"/>
          <w:szCs w:val="24"/>
          <w:lang w:eastAsia="pl-PL"/>
        </w:rPr>
        <w:t>sędzia</w:t>
      </w:r>
    </w:p>
    <w:p w:rsidR="00F73DFA" w:rsidRPr="008A722B" w:rsidRDefault="00F73DFA">
      <w:pPr>
        <w:rPr>
          <w:rFonts w:ascii="Book Antiqua" w:hAnsi="Book Antiqua"/>
          <w:sz w:val="24"/>
          <w:szCs w:val="24"/>
        </w:rPr>
      </w:pPr>
    </w:p>
    <w:sectPr w:rsidR="00F73DFA" w:rsidRPr="008A722B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7F39" w:rsidRDefault="00177F39">
      <w:pPr>
        <w:spacing w:after="0" w:line="240" w:lineRule="auto"/>
      </w:pPr>
      <w:r>
        <w:separator/>
      </w:r>
    </w:p>
  </w:endnote>
  <w:endnote w:type="continuationSeparator" w:id="0">
    <w:p w:rsidR="00177F39" w:rsidRDefault="00177F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07318075"/>
      <w:docPartObj>
        <w:docPartGallery w:val="Page Numbers (Bottom of Page)"/>
        <w:docPartUnique/>
      </w:docPartObj>
    </w:sdtPr>
    <w:sdtEndPr/>
    <w:sdtContent>
      <w:p w:rsidR="007A3737" w:rsidRDefault="00FF55D7" w:rsidP="007A4A4A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23BED"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7F39" w:rsidRDefault="00177F39">
      <w:pPr>
        <w:spacing w:after="0" w:line="240" w:lineRule="auto"/>
      </w:pPr>
      <w:r>
        <w:separator/>
      </w:r>
    </w:p>
  </w:footnote>
  <w:footnote w:type="continuationSeparator" w:id="0">
    <w:p w:rsidR="00177F39" w:rsidRDefault="00177F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A4B6A"/>
    <w:multiLevelType w:val="hybridMultilevel"/>
    <w:tmpl w:val="BAE2EA9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A60D8D"/>
    <w:multiLevelType w:val="hybridMultilevel"/>
    <w:tmpl w:val="33B06D1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FB0BCF"/>
    <w:multiLevelType w:val="hybridMultilevel"/>
    <w:tmpl w:val="37AC2652"/>
    <w:lvl w:ilvl="0" w:tplc="CD76A80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6BB736B"/>
    <w:multiLevelType w:val="hybridMultilevel"/>
    <w:tmpl w:val="9E081A9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plc="34340F8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DA3039"/>
    <w:multiLevelType w:val="hybridMultilevel"/>
    <w:tmpl w:val="D19A8670"/>
    <w:lvl w:ilvl="0" w:tplc="168414E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41050C71"/>
    <w:multiLevelType w:val="hybridMultilevel"/>
    <w:tmpl w:val="07DCDBC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2959A8"/>
    <w:multiLevelType w:val="hybridMultilevel"/>
    <w:tmpl w:val="B5BA58C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455214"/>
    <w:multiLevelType w:val="hybridMultilevel"/>
    <w:tmpl w:val="2172730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4807AB"/>
    <w:multiLevelType w:val="hybridMultilevel"/>
    <w:tmpl w:val="CF30DC5C"/>
    <w:lvl w:ilvl="0" w:tplc="8AB26728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E0633E"/>
    <w:multiLevelType w:val="hybridMultilevel"/>
    <w:tmpl w:val="252ED30A"/>
    <w:lvl w:ilvl="0" w:tplc="740C6E40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393963"/>
    <w:multiLevelType w:val="hybridMultilevel"/>
    <w:tmpl w:val="A8E836A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9815F6"/>
    <w:multiLevelType w:val="hybridMultilevel"/>
    <w:tmpl w:val="450EBC94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7B2F0AF7"/>
    <w:multiLevelType w:val="hybridMultilevel"/>
    <w:tmpl w:val="F012AD0C"/>
    <w:lvl w:ilvl="0" w:tplc="B1B64602">
      <w:start w:val="1"/>
      <w:numFmt w:val="lowerLetter"/>
      <w:lvlText w:val="%1)"/>
      <w:lvlJc w:val="left"/>
      <w:pPr>
        <w:ind w:left="1080" w:hanging="360"/>
      </w:pPr>
      <w:rPr>
        <w:rFonts w:asciiTheme="minorHAnsi" w:hAnsiTheme="minorHAnsi" w:cstheme="minorBidi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E537B9F"/>
    <w:multiLevelType w:val="hybridMultilevel"/>
    <w:tmpl w:val="9F3AE6B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0"/>
  </w:num>
  <w:num w:numId="3">
    <w:abstractNumId w:val="0"/>
  </w:num>
  <w:num w:numId="4">
    <w:abstractNumId w:val="5"/>
  </w:num>
  <w:num w:numId="5">
    <w:abstractNumId w:val="8"/>
  </w:num>
  <w:num w:numId="6">
    <w:abstractNumId w:val="12"/>
  </w:num>
  <w:num w:numId="7">
    <w:abstractNumId w:val="4"/>
  </w:num>
  <w:num w:numId="8">
    <w:abstractNumId w:val="9"/>
  </w:num>
  <w:num w:numId="9">
    <w:abstractNumId w:val="7"/>
  </w:num>
  <w:num w:numId="10">
    <w:abstractNumId w:val="3"/>
  </w:num>
  <w:num w:numId="11">
    <w:abstractNumId w:val="1"/>
  </w:num>
  <w:num w:numId="12">
    <w:abstractNumId w:val="13"/>
  </w:num>
  <w:num w:numId="13">
    <w:abstractNumId w:val="11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AB6"/>
    <w:rsid w:val="00177F39"/>
    <w:rsid w:val="004D7121"/>
    <w:rsid w:val="00654D9B"/>
    <w:rsid w:val="00723BED"/>
    <w:rsid w:val="00830E6C"/>
    <w:rsid w:val="008A722B"/>
    <w:rsid w:val="00CE7AB6"/>
    <w:rsid w:val="00E64F07"/>
    <w:rsid w:val="00F73DFA"/>
    <w:rsid w:val="00FF5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C25A75-67B4-417D-ACFF-1907541EC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E7AB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E7AB6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CE7A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E7A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976</Words>
  <Characters>5856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Nagaduś</dc:creator>
  <cp:keywords/>
  <dc:description/>
  <cp:lastModifiedBy>Monika Górecka</cp:lastModifiedBy>
  <cp:revision>2</cp:revision>
  <dcterms:created xsi:type="dcterms:W3CDTF">2025-10-09T08:51:00Z</dcterms:created>
  <dcterms:modified xsi:type="dcterms:W3CDTF">2025-10-09T08:51:00Z</dcterms:modified>
</cp:coreProperties>
</file>