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1B8C" w14:textId="61901D28" w:rsidR="00EF161E" w:rsidRPr="00566060" w:rsidRDefault="00EF161E" w:rsidP="00D34FF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566060">
        <w:rPr>
          <w:rFonts w:cstheme="minorHAnsi"/>
          <w:i/>
          <w:sz w:val="24"/>
          <w:szCs w:val="24"/>
        </w:rPr>
        <w:t xml:space="preserve">Zalecenia w sprawie praktyk odbywanych przez aplikantów praktyk aplikantów V rocznika aplikacji uzupełniającej sędziowskiej po </w:t>
      </w:r>
      <w:r w:rsidR="00566060" w:rsidRPr="00566060">
        <w:rPr>
          <w:rFonts w:cstheme="minorHAnsi"/>
          <w:i/>
          <w:sz w:val="24"/>
          <w:szCs w:val="24"/>
        </w:rPr>
        <w:t>2</w:t>
      </w:r>
      <w:r w:rsidRPr="00566060">
        <w:rPr>
          <w:rFonts w:cstheme="minorHAnsi"/>
          <w:i/>
          <w:sz w:val="24"/>
          <w:szCs w:val="24"/>
        </w:rPr>
        <w:t xml:space="preserve">9 zjeździe </w:t>
      </w:r>
    </w:p>
    <w:p w14:paraId="5AC3083A" w14:textId="77777777" w:rsidR="00EF161E" w:rsidRPr="00566060" w:rsidRDefault="00EF161E" w:rsidP="00D34FF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2E71BF5" w14:textId="77777777" w:rsidR="00EF161E" w:rsidRPr="00566060" w:rsidRDefault="00EF161E" w:rsidP="00D34FFB">
      <w:pPr>
        <w:spacing w:after="0" w:line="360" w:lineRule="auto"/>
        <w:ind w:left="3540" w:firstLine="708"/>
        <w:jc w:val="both"/>
        <w:rPr>
          <w:rFonts w:cstheme="minorHAnsi"/>
          <w:b/>
          <w:sz w:val="24"/>
          <w:szCs w:val="24"/>
        </w:rPr>
      </w:pPr>
      <w:r w:rsidRPr="00566060">
        <w:rPr>
          <w:rFonts w:cstheme="minorHAnsi"/>
          <w:b/>
          <w:sz w:val="24"/>
          <w:szCs w:val="24"/>
        </w:rPr>
        <w:t xml:space="preserve">Do </w:t>
      </w:r>
    </w:p>
    <w:p w14:paraId="241CA5B1" w14:textId="77777777" w:rsidR="00EF161E" w:rsidRPr="00566060" w:rsidRDefault="00EF161E" w:rsidP="00D34FFB">
      <w:pPr>
        <w:spacing w:after="0" w:line="360" w:lineRule="auto"/>
        <w:ind w:left="3540" w:firstLine="708"/>
        <w:jc w:val="both"/>
        <w:rPr>
          <w:rFonts w:cstheme="minorHAnsi"/>
          <w:b/>
          <w:sz w:val="24"/>
          <w:szCs w:val="24"/>
        </w:rPr>
      </w:pPr>
      <w:r w:rsidRPr="00566060">
        <w:rPr>
          <w:rFonts w:cstheme="minorHAnsi"/>
          <w:b/>
          <w:sz w:val="24"/>
          <w:szCs w:val="24"/>
        </w:rPr>
        <w:t xml:space="preserve">Patronów praktyk </w:t>
      </w:r>
    </w:p>
    <w:p w14:paraId="3F929514" w14:textId="77777777" w:rsidR="00EF161E" w:rsidRPr="00566060" w:rsidRDefault="00EF161E" w:rsidP="00D34FFB">
      <w:pPr>
        <w:spacing w:after="0" w:line="360" w:lineRule="auto"/>
        <w:ind w:left="3540" w:firstLine="708"/>
        <w:jc w:val="both"/>
        <w:rPr>
          <w:rFonts w:cstheme="minorHAnsi"/>
          <w:b/>
          <w:sz w:val="24"/>
          <w:szCs w:val="24"/>
        </w:rPr>
      </w:pPr>
      <w:r w:rsidRPr="00566060">
        <w:rPr>
          <w:rFonts w:cstheme="minorHAnsi"/>
          <w:b/>
          <w:sz w:val="24"/>
          <w:szCs w:val="24"/>
        </w:rPr>
        <w:t xml:space="preserve">oraz Patronów koordynatorów </w:t>
      </w:r>
    </w:p>
    <w:p w14:paraId="7A7A7E51" w14:textId="66B3CDB8" w:rsidR="00EF161E" w:rsidRPr="00566060" w:rsidRDefault="00EF161E" w:rsidP="00D34FFB">
      <w:pPr>
        <w:spacing w:after="0" w:line="360" w:lineRule="auto"/>
        <w:ind w:left="4248"/>
        <w:jc w:val="both"/>
        <w:rPr>
          <w:rFonts w:cstheme="minorHAnsi"/>
          <w:b/>
          <w:sz w:val="24"/>
          <w:szCs w:val="24"/>
        </w:rPr>
      </w:pPr>
      <w:r w:rsidRPr="00566060">
        <w:rPr>
          <w:rFonts w:cstheme="minorHAnsi"/>
          <w:b/>
          <w:sz w:val="24"/>
          <w:szCs w:val="24"/>
        </w:rPr>
        <w:t xml:space="preserve">aplikantów aplikacji uzupełniającej sędziowskiej </w:t>
      </w:r>
    </w:p>
    <w:p w14:paraId="1AE7FFC3" w14:textId="77777777" w:rsidR="00EF161E" w:rsidRPr="00566060" w:rsidRDefault="00EF161E" w:rsidP="00D34FF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FD4D40C" w14:textId="155B7ADB" w:rsidR="00EF161E" w:rsidRPr="00566060" w:rsidRDefault="00EF161E" w:rsidP="0056606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566060">
        <w:rPr>
          <w:rFonts w:cstheme="minorHAnsi"/>
          <w:sz w:val="24"/>
          <w:szCs w:val="24"/>
        </w:rPr>
        <w:t xml:space="preserve">Uprzejmie przedstawiam szczegółowy zakres tematyczny, który winien być przedmiotem praktyk aplikantów V rocznika aplikacji sędziowskiej odbywanych po </w:t>
      </w:r>
      <w:r w:rsidR="00566060" w:rsidRPr="00566060">
        <w:rPr>
          <w:rFonts w:cstheme="minorHAnsi"/>
          <w:sz w:val="24"/>
          <w:szCs w:val="24"/>
        </w:rPr>
        <w:t>2</w:t>
      </w:r>
      <w:r w:rsidRPr="00566060">
        <w:rPr>
          <w:rFonts w:cstheme="minorHAnsi"/>
          <w:sz w:val="24"/>
          <w:szCs w:val="24"/>
        </w:rPr>
        <w:t xml:space="preserve">9 zjeździe tego rocznika aplikacji. Praktyka ma trwać 2 dni w okresie </w:t>
      </w:r>
      <w:r w:rsidRPr="009E3937">
        <w:rPr>
          <w:rFonts w:cstheme="minorHAnsi"/>
          <w:b/>
          <w:sz w:val="24"/>
          <w:szCs w:val="24"/>
        </w:rPr>
        <w:t xml:space="preserve">od </w:t>
      </w:r>
      <w:r w:rsidR="00566060" w:rsidRPr="009E3937">
        <w:rPr>
          <w:rFonts w:cstheme="minorHAnsi"/>
          <w:b/>
          <w:sz w:val="24"/>
          <w:szCs w:val="24"/>
        </w:rPr>
        <w:t xml:space="preserve">29 września do 10 października </w:t>
      </w:r>
      <w:r w:rsidR="00ED5474" w:rsidRPr="009E3937">
        <w:rPr>
          <w:rFonts w:cstheme="minorHAnsi"/>
          <w:b/>
          <w:sz w:val="24"/>
          <w:szCs w:val="24"/>
        </w:rPr>
        <w:t xml:space="preserve">2025 </w:t>
      </w:r>
      <w:r w:rsidRPr="009E3937">
        <w:rPr>
          <w:rFonts w:cstheme="minorHAnsi"/>
          <w:b/>
          <w:sz w:val="24"/>
          <w:szCs w:val="24"/>
        </w:rPr>
        <w:t>r.</w:t>
      </w:r>
      <w:r w:rsidRPr="00566060">
        <w:rPr>
          <w:rFonts w:cstheme="minorHAnsi"/>
          <w:sz w:val="24"/>
          <w:szCs w:val="24"/>
        </w:rPr>
        <w:t xml:space="preserve"> </w:t>
      </w:r>
      <w:r w:rsidR="00ED5474" w:rsidRPr="00566060">
        <w:rPr>
          <w:rFonts w:cstheme="minorHAnsi"/>
          <w:sz w:val="24"/>
          <w:szCs w:val="24"/>
        </w:rPr>
        <w:t>(jeden dzień praktyki w każdym z dwóch tygodni)</w:t>
      </w:r>
      <w:r w:rsidRPr="00566060">
        <w:rPr>
          <w:rFonts w:cstheme="minorHAnsi"/>
          <w:sz w:val="24"/>
          <w:szCs w:val="24"/>
        </w:rPr>
        <w:t xml:space="preserve"> i odbywać się w sądzie okręgowym w wydziale </w:t>
      </w:r>
      <w:r w:rsidR="00566060" w:rsidRPr="00566060">
        <w:rPr>
          <w:rFonts w:cstheme="minorHAnsi"/>
          <w:sz w:val="24"/>
          <w:szCs w:val="24"/>
        </w:rPr>
        <w:t>gospodarczym</w:t>
      </w:r>
      <w:r w:rsidRPr="00566060">
        <w:rPr>
          <w:rFonts w:cstheme="minorHAnsi"/>
          <w:sz w:val="24"/>
          <w:szCs w:val="24"/>
        </w:rPr>
        <w:t xml:space="preserve">. </w:t>
      </w:r>
    </w:p>
    <w:p w14:paraId="398B12C3" w14:textId="77777777" w:rsidR="00ED5474" w:rsidRPr="00566060" w:rsidRDefault="00ED5474" w:rsidP="0056606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566060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275B9410" w14:textId="77777777" w:rsidR="00ED5474" w:rsidRPr="00566060" w:rsidRDefault="00ED5474" w:rsidP="00566060">
      <w:pPr>
        <w:spacing w:after="120" w:line="360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566060">
        <w:rPr>
          <w:rFonts w:eastAsia="Times New Roman" w:cstheme="minorHAnsi"/>
          <w:sz w:val="24"/>
          <w:szCs w:val="24"/>
        </w:rPr>
        <w:t xml:space="preserve">Patron praktyki powinien w pierwszej kolejności powierzać aplikantowi wykonanie czynności określonych </w:t>
      </w:r>
      <w:r w:rsidRPr="00566060">
        <w:rPr>
          <w:rFonts w:cstheme="minorHAnsi"/>
          <w:noProof/>
          <w:sz w:val="24"/>
          <w:szCs w:val="24"/>
        </w:rPr>
        <w:t xml:space="preserve">w zaleceniach dotyczących przebiegu praktyki po zjeździe (czynności obowiązkowe), </w:t>
      </w:r>
      <w:r w:rsidRPr="00566060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Pr="00566060">
        <w:rPr>
          <w:rFonts w:eastAsia="Times New Roman" w:cstheme="minorHAnsi"/>
          <w:sz w:val="24"/>
          <w:szCs w:val="24"/>
          <w:u w:val="single"/>
        </w:rPr>
        <w:t xml:space="preserve">kontrolować prawidłowość ich wykonania. </w:t>
      </w:r>
    </w:p>
    <w:p w14:paraId="7F4BFFC0" w14:textId="77777777" w:rsidR="00ED5474" w:rsidRPr="00566060" w:rsidRDefault="00ED5474" w:rsidP="00566060">
      <w:pPr>
        <w:spacing w:after="12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566060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3CD99F2F" w14:textId="77777777" w:rsidR="00566060" w:rsidRPr="00566060" w:rsidRDefault="00566060" w:rsidP="0056606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566060">
        <w:rPr>
          <w:rFonts w:cstheme="minorHAnsi"/>
          <w:sz w:val="24"/>
          <w:szCs w:val="24"/>
        </w:rPr>
        <w:t xml:space="preserve">Zgodnie z programem aplikacji uzupełniającej sędziowskiej, tematyka 29 zjazdu obejmuje </w:t>
      </w:r>
      <w:r w:rsidRPr="00566060">
        <w:rPr>
          <w:rFonts w:cstheme="minorHAnsi"/>
          <w:b/>
          <w:sz w:val="24"/>
          <w:szCs w:val="24"/>
        </w:rPr>
        <w:t>spółki prawa handlowego oraz rejestry.</w:t>
      </w:r>
      <w:r w:rsidRPr="00566060">
        <w:rPr>
          <w:rFonts w:cstheme="minorHAnsi"/>
          <w:sz w:val="24"/>
          <w:szCs w:val="24"/>
        </w:rPr>
        <w:t xml:space="preserve"> </w:t>
      </w:r>
    </w:p>
    <w:p w14:paraId="0735F7E1" w14:textId="3CC06B1A" w:rsidR="00EF161E" w:rsidRPr="00566060" w:rsidRDefault="00EF161E" w:rsidP="0056606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566060">
        <w:rPr>
          <w:rFonts w:cstheme="minorHAnsi"/>
          <w:sz w:val="24"/>
          <w:szCs w:val="24"/>
        </w:rPr>
        <w:t xml:space="preserve">Z uwagi na zakres tematyczny </w:t>
      </w:r>
      <w:r w:rsidR="00566060" w:rsidRPr="00566060">
        <w:rPr>
          <w:rFonts w:cstheme="minorHAnsi"/>
          <w:sz w:val="24"/>
          <w:szCs w:val="24"/>
        </w:rPr>
        <w:t>2</w:t>
      </w:r>
      <w:r w:rsidRPr="00566060">
        <w:rPr>
          <w:rFonts w:cstheme="minorHAnsi"/>
          <w:sz w:val="24"/>
          <w:szCs w:val="24"/>
        </w:rPr>
        <w:t xml:space="preserve">9 zjazdu, patron praktyki oraz patron koordynator powinni przy pracy z aplikantami poświęcić szczególną uwagę podstawowym </w:t>
      </w:r>
      <w:r w:rsidRPr="00566060">
        <w:rPr>
          <w:rFonts w:cstheme="minorHAnsi"/>
          <w:b/>
          <w:sz w:val="24"/>
          <w:szCs w:val="24"/>
        </w:rPr>
        <w:t>zagadnieniom prawa materialnego,</w:t>
      </w:r>
      <w:r w:rsidRPr="00566060">
        <w:rPr>
          <w:rFonts w:cstheme="minorHAnsi"/>
          <w:sz w:val="24"/>
          <w:szCs w:val="24"/>
        </w:rPr>
        <w:t xml:space="preserve"> takim jak: </w:t>
      </w:r>
    </w:p>
    <w:p w14:paraId="54BC6E10" w14:textId="2159CE20" w:rsidR="00566060" w:rsidRPr="00566060" w:rsidRDefault="00566060" w:rsidP="00D34FFB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handlowe spółki osobowe, w szczególności reprezentacja spółki oraz odpowiedzialność za zobowiązania spółki; </w:t>
      </w:r>
    </w:p>
    <w:p w14:paraId="5BD73B92" w14:textId="2C187B74" w:rsidR="00566060" w:rsidRPr="00566060" w:rsidRDefault="00566060" w:rsidP="00D34FFB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566060">
        <w:rPr>
          <w:sz w:val="24"/>
          <w:szCs w:val="24"/>
        </w:rPr>
        <w:lastRenderedPageBreak/>
        <w:t>spółki kapitałowe, w szczególności reprezentacja spółki przy zawieraniu umowy między spółką a członkiem zarządu oraz w sporze między spółką a członkiem zarządu; reprezentacja spółki w sporze dotyczącym uchylenia lub stwierdzenia nieważności uchwały wspólników lub walnego zgromadzenia akcjonariuszy; reprezentacja spółki w</w:t>
      </w:r>
      <w:r w:rsidR="00D34FFB">
        <w:rPr>
          <w:sz w:val="24"/>
          <w:szCs w:val="24"/>
        </w:rPr>
        <w:t> </w:t>
      </w:r>
      <w:r w:rsidRPr="00566060">
        <w:rPr>
          <w:sz w:val="24"/>
          <w:szCs w:val="24"/>
        </w:rPr>
        <w:t xml:space="preserve">organizacji; </w:t>
      </w:r>
    </w:p>
    <w:p w14:paraId="6B152F1F" w14:textId="7F9CB161" w:rsidR="00566060" w:rsidRPr="00566060" w:rsidRDefault="00566060" w:rsidP="00D34FFB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podejmowanie uchwał w przedmiocie wyrażenia zgody na dokonanie przez spółkę czynności prawnej oraz wpływ uchybień w tym zakresie na ważność tej czynności; </w:t>
      </w:r>
    </w:p>
    <w:p w14:paraId="26BDA55C" w14:textId="0DFDCBE3" w:rsidR="00566060" w:rsidRPr="00566060" w:rsidRDefault="00566060" w:rsidP="00D34FFB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podwyższenie lub obniżenie kapitału zakładowego; </w:t>
      </w:r>
    </w:p>
    <w:p w14:paraId="547D7FE1" w14:textId="458F70CC" w:rsidR="00566060" w:rsidRPr="00566060" w:rsidRDefault="00566060" w:rsidP="00D34FFB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566060">
        <w:rPr>
          <w:sz w:val="24"/>
          <w:szCs w:val="24"/>
        </w:rPr>
        <w:t>odpowiedzialność członków zarządu spółek kapitałowych oraz ich likwidatorów za</w:t>
      </w:r>
      <w:r w:rsidR="000834BF">
        <w:rPr>
          <w:sz w:val="24"/>
          <w:szCs w:val="24"/>
        </w:rPr>
        <w:t> </w:t>
      </w:r>
      <w:r w:rsidRPr="00566060">
        <w:rPr>
          <w:sz w:val="24"/>
          <w:szCs w:val="24"/>
        </w:rPr>
        <w:t>zobowiązania spółki (ze zwróceniem uwagi na wyłączenie drogi sądowej w sprawie odpowiedzialności za zobowiązania publicznoprawne), w tym wobec spółki; odpowiedzialność za zobowiązania spółki kapitałowej w organizacji</w:t>
      </w:r>
      <w:r w:rsidR="00D34FFB">
        <w:rPr>
          <w:sz w:val="24"/>
          <w:szCs w:val="24"/>
        </w:rPr>
        <w:t>;</w:t>
      </w:r>
    </w:p>
    <w:p w14:paraId="6D9FC330" w14:textId="03513BC5" w:rsidR="00566060" w:rsidRPr="00566060" w:rsidRDefault="00566060" w:rsidP="00566060">
      <w:pPr>
        <w:pStyle w:val="Akapitzlist"/>
        <w:numPr>
          <w:ilvl w:val="0"/>
          <w:numId w:val="8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rozwiązanie i likwidacja spółki. </w:t>
      </w:r>
    </w:p>
    <w:p w14:paraId="7BB1B1D4" w14:textId="2AE71CED" w:rsidR="00D34FFB" w:rsidRPr="00D34FFB" w:rsidRDefault="00D34FFB" w:rsidP="00D34FFB">
      <w:pPr>
        <w:spacing w:line="360" w:lineRule="auto"/>
        <w:jc w:val="both"/>
        <w:rPr>
          <w:sz w:val="24"/>
          <w:szCs w:val="24"/>
        </w:rPr>
      </w:pPr>
      <w:r w:rsidRPr="00D34FFB">
        <w:rPr>
          <w:b/>
          <w:sz w:val="24"/>
          <w:szCs w:val="24"/>
        </w:rPr>
        <w:t>W zakresie prawa procesowego</w:t>
      </w:r>
      <w:r w:rsidRPr="00D34FFB">
        <w:rPr>
          <w:sz w:val="24"/>
          <w:szCs w:val="24"/>
        </w:rPr>
        <w:t xml:space="preserve"> szczególną uwagę należy poświęcić zagadnieniom dotyczącym: </w:t>
      </w:r>
    </w:p>
    <w:p w14:paraId="6E9941D4" w14:textId="52AFB222" w:rsidR="00566060" w:rsidRPr="00566060" w:rsidRDefault="00566060" w:rsidP="00566060">
      <w:pPr>
        <w:pStyle w:val="Akapitzlist"/>
        <w:numPr>
          <w:ilvl w:val="0"/>
          <w:numId w:val="1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 w:rsidRPr="00566060">
        <w:rPr>
          <w:sz w:val="24"/>
          <w:szCs w:val="24"/>
        </w:rPr>
        <w:t>powództw</w:t>
      </w:r>
      <w:r w:rsidR="00D34FFB">
        <w:rPr>
          <w:sz w:val="24"/>
          <w:szCs w:val="24"/>
        </w:rPr>
        <w:t>a</w:t>
      </w:r>
      <w:r w:rsidRPr="00566060">
        <w:rPr>
          <w:sz w:val="24"/>
          <w:szCs w:val="24"/>
        </w:rPr>
        <w:t xml:space="preserve"> o uchylenie uchwały oraz o stwierdzenie nieważności uchwały (rozróżnienie przesłanek, legitymacja czynna, terminy, możliwoś</w:t>
      </w:r>
      <w:r w:rsidR="00D34FFB">
        <w:rPr>
          <w:sz w:val="24"/>
          <w:szCs w:val="24"/>
        </w:rPr>
        <w:t>ci</w:t>
      </w:r>
      <w:r w:rsidRPr="00566060">
        <w:rPr>
          <w:sz w:val="24"/>
          <w:szCs w:val="24"/>
        </w:rPr>
        <w:t xml:space="preserve"> zmiany żądania, charakter i skut</w:t>
      </w:r>
      <w:r w:rsidR="000834BF">
        <w:rPr>
          <w:sz w:val="24"/>
          <w:szCs w:val="24"/>
        </w:rPr>
        <w:t>e</w:t>
      </w:r>
      <w:r w:rsidRPr="00566060">
        <w:rPr>
          <w:sz w:val="24"/>
          <w:szCs w:val="24"/>
        </w:rPr>
        <w:t>k wyroku uwzględniającego powództwo) oraz zabezpieczeni</w:t>
      </w:r>
      <w:r w:rsidR="00D34FFB">
        <w:rPr>
          <w:sz w:val="24"/>
          <w:szCs w:val="24"/>
        </w:rPr>
        <w:t xml:space="preserve">a </w:t>
      </w:r>
      <w:r w:rsidRPr="00566060">
        <w:rPr>
          <w:sz w:val="24"/>
          <w:szCs w:val="24"/>
        </w:rPr>
        <w:t xml:space="preserve">roszczenia w tych sprawach; </w:t>
      </w:r>
    </w:p>
    <w:p w14:paraId="087F59E8" w14:textId="2AF7942B" w:rsidR="00566060" w:rsidRPr="00566060" w:rsidRDefault="00566060" w:rsidP="00566060">
      <w:pPr>
        <w:pStyle w:val="Akapitzlist"/>
        <w:numPr>
          <w:ilvl w:val="0"/>
          <w:numId w:val="1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 w:rsidRPr="00566060">
        <w:rPr>
          <w:sz w:val="24"/>
          <w:szCs w:val="24"/>
        </w:rPr>
        <w:t>postępowani</w:t>
      </w:r>
      <w:r w:rsidR="00D34FFB">
        <w:rPr>
          <w:sz w:val="24"/>
          <w:szCs w:val="24"/>
        </w:rPr>
        <w:t>a</w:t>
      </w:r>
      <w:r w:rsidRPr="00566060">
        <w:rPr>
          <w:sz w:val="24"/>
          <w:szCs w:val="24"/>
        </w:rPr>
        <w:t xml:space="preserve"> w sprawach dotyczących odpowiedzialności wspólników spółek osobowych za zobowiązania spółki, w tym postępowani</w:t>
      </w:r>
      <w:r w:rsidR="00D34FFB">
        <w:rPr>
          <w:sz w:val="24"/>
          <w:szCs w:val="24"/>
        </w:rPr>
        <w:t>a</w:t>
      </w:r>
      <w:r w:rsidRPr="00566060">
        <w:rPr>
          <w:sz w:val="24"/>
          <w:szCs w:val="24"/>
        </w:rPr>
        <w:t xml:space="preserve"> klauzulowe</w:t>
      </w:r>
      <w:r w:rsidR="00D34FFB">
        <w:rPr>
          <w:sz w:val="24"/>
          <w:szCs w:val="24"/>
        </w:rPr>
        <w:t>go</w:t>
      </w:r>
      <w:r w:rsidRPr="00566060">
        <w:rPr>
          <w:sz w:val="24"/>
          <w:szCs w:val="24"/>
        </w:rPr>
        <w:t xml:space="preserve"> oraz postępowani</w:t>
      </w:r>
      <w:r w:rsidR="00D34FFB">
        <w:rPr>
          <w:sz w:val="24"/>
          <w:szCs w:val="24"/>
        </w:rPr>
        <w:t>a</w:t>
      </w:r>
      <w:r w:rsidRPr="00566060">
        <w:rPr>
          <w:sz w:val="24"/>
          <w:szCs w:val="24"/>
        </w:rPr>
        <w:t xml:space="preserve"> w sprawach dotyczących odpowiedzialności członków zarządu spółki z</w:t>
      </w:r>
      <w:r w:rsidR="00D34FFB">
        <w:rPr>
          <w:sz w:val="24"/>
          <w:szCs w:val="24"/>
        </w:rPr>
        <w:t> </w:t>
      </w:r>
      <w:r w:rsidRPr="00566060">
        <w:rPr>
          <w:sz w:val="24"/>
          <w:szCs w:val="24"/>
        </w:rPr>
        <w:t xml:space="preserve">ograniczoną odpowiedzialnością oraz jej likwidatorów za zobowiązania spółki (rozkład ciężaru dowodu, środki dowodowe); </w:t>
      </w:r>
    </w:p>
    <w:p w14:paraId="18A8BE60" w14:textId="68C8F2B7" w:rsidR="00566060" w:rsidRDefault="00566060" w:rsidP="00566060">
      <w:pPr>
        <w:pStyle w:val="Akapitzlist"/>
        <w:numPr>
          <w:ilvl w:val="0"/>
          <w:numId w:val="11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 w:rsidRPr="00566060">
        <w:rPr>
          <w:sz w:val="24"/>
          <w:szCs w:val="24"/>
        </w:rPr>
        <w:t>legitymacj</w:t>
      </w:r>
      <w:r w:rsidR="00D34FFB">
        <w:rPr>
          <w:sz w:val="24"/>
          <w:szCs w:val="24"/>
        </w:rPr>
        <w:t>i</w:t>
      </w:r>
      <w:r w:rsidRPr="00566060">
        <w:rPr>
          <w:sz w:val="24"/>
          <w:szCs w:val="24"/>
        </w:rPr>
        <w:t xml:space="preserve"> czynn</w:t>
      </w:r>
      <w:r w:rsidR="00D34FFB">
        <w:rPr>
          <w:sz w:val="24"/>
          <w:szCs w:val="24"/>
        </w:rPr>
        <w:t>ej</w:t>
      </w:r>
      <w:r w:rsidRPr="00566060">
        <w:rPr>
          <w:sz w:val="24"/>
          <w:szCs w:val="24"/>
        </w:rPr>
        <w:t xml:space="preserve"> i biern</w:t>
      </w:r>
      <w:r w:rsidR="00D34FFB">
        <w:rPr>
          <w:sz w:val="24"/>
          <w:szCs w:val="24"/>
        </w:rPr>
        <w:t>ej</w:t>
      </w:r>
      <w:r w:rsidRPr="00566060">
        <w:rPr>
          <w:sz w:val="24"/>
          <w:szCs w:val="24"/>
        </w:rPr>
        <w:t xml:space="preserve"> w sprawie o wyłączenie wspólnika sp. z o.o.; w sprawie o</w:t>
      </w:r>
      <w:r w:rsidR="00D34FFB">
        <w:rPr>
          <w:sz w:val="24"/>
          <w:szCs w:val="24"/>
        </w:rPr>
        <w:t> </w:t>
      </w:r>
      <w:r w:rsidRPr="00566060">
        <w:rPr>
          <w:sz w:val="24"/>
          <w:szCs w:val="24"/>
        </w:rPr>
        <w:t xml:space="preserve">rozwiązanie spółki osobowej lub wyłączenie wspólnika; w sprawie dotyczącej odpowiedzialności odszkodowawczej członków organów spółki i likwidatorów. </w:t>
      </w:r>
    </w:p>
    <w:p w14:paraId="6608AD11" w14:textId="77777777" w:rsidR="00566060" w:rsidRPr="00566060" w:rsidRDefault="00566060" w:rsidP="00566060">
      <w:pPr>
        <w:spacing w:line="360" w:lineRule="auto"/>
        <w:ind w:firstLine="709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Zaleca się, aby w trakcie praktyki aplikanci zapoznawali się z konkretnymi sprawami z wyżej wymienionego zakresu, brali udział w rozprawach dotyczących tych spraw oraz aby – przy uwzględnieniu trwania praktyki – powierzano im możliwie jak największą liczbę czynności, które utrwalą zdobytą przez nich wiedzę i umiejętności praktyczne, </w:t>
      </w:r>
      <w:r w:rsidRPr="00566060">
        <w:rPr>
          <w:sz w:val="24"/>
          <w:szCs w:val="24"/>
        </w:rPr>
        <w:lastRenderedPageBreak/>
        <w:t xml:space="preserve">a w szczególności, aby brali czynny udział w przygotowywaniu projektów zarządzeń i orzeczeń wraz z uzasadnieniami. </w:t>
      </w:r>
    </w:p>
    <w:p w14:paraId="4018C791" w14:textId="77777777" w:rsidR="00566060" w:rsidRPr="00D34FFB" w:rsidRDefault="00566060" w:rsidP="0056606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34FFB">
        <w:rPr>
          <w:b/>
          <w:sz w:val="24"/>
          <w:szCs w:val="24"/>
        </w:rPr>
        <w:t xml:space="preserve">W trakcie praktyki należy zlecić aplikantowi sporządzenie projektów następujących decyzji procesowych (czynności obowiązkowe): </w:t>
      </w:r>
    </w:p>
    <w:p w14:paraId="2B772030" w14:textId="03723928" w:rsidR="00566060" w:rsidRPr="00566060" w:rsidRDefault="00566060" w:rsidP="00566060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sporządzenie co najmniej jednego projektu wyroku (z rozstrzygnięciem o kosztach procesu) wraz z uzasadnieniem (z zarządzeniami), w co najmniej 1 z niżej wskazanych spraw: </w:t>
      </w:r>
    </w:p>
    <w:p w14:paraId="141AA476" w14:textId="5C6E3350" w:rsidR="00566060" w:rsidRPr="00566060" w:rsidRDefault="00566060" w:rsidP="00D34FFB">
      <w:pPr>
        <w:pStyle w:val="Akapitzlist"/>
        <w:numPr>
          <w:ilvl w:val="1"/>
          <w:numId w:val="13"/>
        </w:numPr>
        <w:spacing w:after="0" w:line="360" w:lineRule="auto"/>
        <w:ind w:left="1434" w:hanging="357"/>
        <w:contextualSpacing w:val="0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o uchylenie uchwały, </w:t>
      </w:r>
    </w:p>
    <w:p w14:paraId="5D24003B" w14:textId="052844B6" w:rsidR="00566060" w:rsidRPr="00566060" w:rsidRDefault="00566060" w:rsidP="00D34FFB">
      <w:pPr>
        <w:pStyle w:val="Akapitzlist"/>
        <w:numPr>
          <w:ilvl w:val="1"/>
          <w:numId w:val="13"/>
        </w:numPr>
        <w:spacing w:after="0" w:line="360" w:lineRule="auto"/>
        <w:ind w:left="1434" w:hanging="357"/>
        <w:contextualSpacing w:val="0"/>
        <w:jc w:val="both"/>
        <w:rPr>
          <w:sz w:val="24"/>
          <w:szCs w:val="24"/>
        </w:rPr>
      </w:pPr>
      <w:r w:rsidRPr="00566060">
        <w:rPr>
          <w:sz w:val="24"/>
          <w:szCs w:val="24"/>
        </w:rPr>
        <w:t>o stwierdzenie nieważności uchwały,</w:t>
      </w:r>
    </w:p>
    <w:p w14:paraId="63E68989" w14:textId="1C7F1A58" w:rsidR="00566060" w:rsidRPr="00566060" w:rsidRDefault="00566060" w:rsidP="00566060">
      <w:pPr>
        <w:pStyle w:val="Akapitzlist"/>
        <w:numPr>
          <w:ilvl w:val="1"/>
          <w:numId w:val="13"/>
        </w:numPr>
        <w:spacing w:after="120" w:line="360" w:lineRule="auto"/>
        <w:jc w:val="both"/>
        <w:rPr>
          <w:sz w:val="24"/>
          <w:szCs w:val="24"/>
        </w:rPr>
      </w:pPr>
      <w:r w:rsidRPr="00566060">
        <w:rPr>
          <w:sz w:val="24"/>
          <w:szCs w:val="24"/>
        </w:rPr>
        <w:t xml:space="preserve">o zapłatę na podstawie art. 299 k.s.h. lub innych przepisów regulujących odpowiedzialność członków organów spółki za zobowiązania wobec spółki albo jej wierzycieli. </w:t>
      </w:r>
    </w:p>
    <w:p w14:paraId="44BCE140" w14:textId="0EC11A5C" w:rsidR="00566060" w:rsidRPr="00566060" w:rsidRDefault="00566060" w:rsidP="00566060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sz w:val="24"/>
          <w:szCs w:val="24"/>
        </w:rPr>
      </w:pPr>
      <w:r w:rsidRPr="00566060">
        <w:rPr>
          <w:sz w:val="24"/>
          <w:szCs w:val="24"/>
        </w:rPr>
        <w:t>sporządzenie projektu postanowienia o dopuszczeniu dowodu z opinii biegłego, wraz z odpowiednimi zarządzeniami, w sprawie dotyczącej odpowiedzialności cywilnoprawnej uregulowanej w k.s.h. (art. 291-300 oraz art. 479-490 k.s.h.) albo w</w:t>
      </w:r>
      <w:r w:rsidR="00D34FFB">
        <w:rPr>
          <w:sz w:val="24"/>
          <w:szCs w:val="24"/>
        </w:rPr>
        <w:t> </w:t>
      </w:r>
      <w:r w:rsidRPr="00566060">
        <w:rPr>
          <w:sz w:val="24"/>
          <w:szCs w:val="24"/>
        </w:rPr>
        <w:t>art. 21 ust. 3 ustawy – Prawo upadłościowe;</w:t>
      </w:r>
    </w:p>
    <w:p w14:paraId="1D1A2420" w14:textId="7055E495" w:rsidR="00566060" w:rsidRPr="00566060" w:rsidRDefault="00566060" w:rsidP="00566060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sz w:val="24"/>
          <w:szCs w:val="24"/>
        </w:rPr>
      </w:pPr>
      <w:r w:rsidRPr="00566060">
        <w:rPr>
          <w:sz w:val="24"/>
          <w:szCs w:val="24"/>
        </w:rPr>
        <w:t>sporządzenie projektu postanowienia w przedmiocie zabezpieczenia w sprawach o</w:t>
      </w:r>
      <w:r w:rsidR="00D34FFB">
        <w:rPr>
          <w:sz w:val="24"/>
          <w:szCs w:val="24"/>
        </w:rPr>
        <w:t> </w:t>
      </w:r>
      <w:r w:rsidRPr="00566060">
        <w:rPr>
          <w:sz w:val="24"/>
          <w:szCs w:val="24"/>
        </w:rPr>
        <w:t xml:space="preserve">uchylenie uchwały albo o stwierdzenie nieważności uchwały. </w:t>
      </w:r>
    </w:p>
    <w:p w14:paraId="5A825547" w14:textId="77777777" w:rsidR="008B3341" w:rsidRPr="00566060" w:rsidRDefault="008B3341" w:rsidP="00566060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7C9FA92" w14:textId="20BF2C54" w:rsidR="00EF161E" w:rsidRPr="00566060" w:rsidRDefault="00EF161E" w:rsidP="00D34FFB">
      <w:pPr>
        <w:spacing w:after="0" w:line="360" w:lineRule="auto"/>
        <w:ind w:left="4247" w:firstLine="709"/>
        <w:jc w:val="center"/>
        <w:rPr>
          <w:rFonts w:cstheme="minorHAnsi"/>
          <w:sz w:val="24"/>
          <w:szCs w:val="24"/>
        </w:rPr>
      </w:pPr>
      <w:r w:rsidRPr="00566060">
        <w:rPr>
          <w:rFonts w:cstheme="minorHAnsi"/>
          <w:sz w:val="24"/>
          <w:szCs w:val="24"/>
        </w:rPr>
        <w:t>Kierownik Działu Dydaktycznego</w:t>
      </w:r>
    </w:p>
    <w:p w14:paraId="12433184" w14:textId="61145679" w:rsidR="00EF161E" w:rsidRPr="00566060" w:rsidRDefault="00EF161E" w:rsidP="00D34FFB">
      <w:pPr>
        <w:spacing w:after="0" w:line="360" w:lineRule="auto"/>
        <w:ind w:left="4248" w:firstLine="708"/>
        <w:jc w:val="center"/>
        <w:rPr>
          <w:rFonts w:cstheme="minorHAnsi"/>
          <w:sz w:val="24"/>
          <w:szCs w:val="24"/>
        </w:rPr>
      </w:pPr>
      <w:r w:rsidRPr="00566060">
        <w:rPr>
          <w:rFonts w:cstheme="minorHAnsi"/>
          <w:sz w:val="24"/>
          <w:szCs w:val="24"/>
        </w:rPr>
        <w:t>Ośrodka Aplikacji Sędziowskiej</w:t>
      </w:r>
    </w:p>
    <w:p w14:paraId="4CD1EAD3" w14:textId="48C09FCC" w:rsidR="00EF161E" w:rsidRPr="00566060" w:rsidRDefault="00EF161E" w:rsidP="00D34FFB">
      <w:pPr>
        <w:spacing w:after="0" w:line="360" w:lineRule="auto"/>
        <w:ind w:left="4247" w:firstLine="709"/>
        <w:jc w:val="center"/>
        <w:rPr>
          <w:rFonts w:cstheme="minorHAnsi"/>
          <w:sz w:val="24"/>
          <w:szCs w:val="24"/>
        </w:rPr>
      </w:pPr>
      <w:r w:rsidRPr="00566060">
        <w:rPr>
          <w:rFonts w:cstheme="minorHAnsi"/>
          <w:sz w:val="24"/>
          <w:szCs w:val="24"/>
        </w:rPr>
        <w:t>Magdalena Nagaduś</w:t>
      </w:r>
    </w:p>
    <w:p w14:paraId="0A18CF28" w14:textId="4B03BA3E" w:rsidR="00DF1BB3" w:rsidRPr="00566060" w:rsidRDefault="00EF161E" w:rsidP="00D34FFB">
      <w:pPr>
        <w:spacing w:after="0" w:line="360" w:lineRule="auto"/>
        <w:ind w:left="4247" w:firstLine="709"/>
        <w:jc w:val="center"/>
        <w:rPr>
          <w:rFonts w:cstheme="minorHAnsi"/>
          <w:sz w:val="24"/>
          <w:szCs w:val="24"/>
        </w:rPr>
      </w:pPr>
      <w:r w:rsidRPr="00566060">
        <w:rPr>
          <w:rFonts w:cstheme="minorHAnsi"/>
          <w:sz w:val="24"/>
          <w:szCs w:val="24"/>
        </w:rPr>
        <w:t>Sędzia</w:t>
      </w:r>
    </w:p>
    <w:sectPr w:rsidR="00DF1BB3" w:rsidRPr="0056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7B4"/>
    <w:multiLevelType w:val="hybridMultilevel"/>
    <w:tmpl w:val="04101B18"/>
    <w:lvl w:ilvl="0" w:tplc="E6B2D65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A54D3"/>
    <w:multiLevelType w:val="hybridMultilevel"/>
    <w:tmpl w:val="7FF8D8D6"/>
    <w:lvl w:ilvl="0" w:tplc="396418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C44"/>
    <w:multiLevelType w:val="hybridMultilevel"/>
    <w:tmpl w:val="80C44FC4"/>
    <w:lvl w:ilvl="0" w:tplc="8A8CC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3CCE"/>
    <w:multiLevelType w:val="hybridMultilevel"/>
    <w:tmpl w:val="8DD21FA8"/>
    <w:lvl w:ilvl="0" w:tplc="BFBAE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00AF"/>
    <w:multiLevelType w:val="hybridMultilevel"/>
    <w:tmpl w:val="DB90B976"/>
    <w:lvl w:ilvl="0" w:tplc="BFBAE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33DE"/>
    <w:multiLevelType w:val="hybridMultilevel"/>
    <w:tmpl w:val="03AA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26E6"/>
    <w:multiLevelType w:val="hybridMultilevel"/>
    <w:tmpl w:val="9216F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5588"/>
    <w:multiLevelType w:val="hybridMultilevel"/>
    <w:tmpl w:val="9380F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3ECC"/>
    <w:multiLevelType w:val="hybridMultilevel"/>
    <w:tmpl w:val="00284B2C"/>
    <w:lvl w:ilvl="0" w:tplc="328EC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B7AB4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4840"/>
    <w:multiLevelType w:val="hybridMultilevel"/>
    <w:tmpl w:val="1A963592"/>
    <w:lvl w:ilvl="0" w:tplc="119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07CD14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1306D"/>
    <w:multiLevelType w:val="hybridMultilevel"/>
    <w:tmpl w:val="FB62924C"/>
    <w:lvl w:ilvl="0" w:tplc="A79A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1EB1"/>
    <w:multiLevelType w:val="hybridMultilevel"/>
    <w:tmpl w:val="33886B40"/>
    <w:lvl w:ilvl="0" w:tplc="A79A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F7161"/>
    <w:multiLevelType w:val="hybridMultilevel"/>
    <w:tmpl w:val="0232B576"/>
    <w:lvl w:ilvl="0" w:tplc="F402B5A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20"/>
    <w:rsid w:val="00003196"/>
    <w:rsid w:val="000834BF"/>
    <w:rsid w:val="00481A61"/>
    <w:rsid w:val="00566060"/>
    <w:rsid w:val="00641BF7"/>
    <w:rsid w:val="0072191F"/>
    <w:rsid w:val="008B3341"/>
    <w:rsid w:val="009561C6"/>
    <w:rsid w:val="009E3937"/>
    <w:rsid w:val="00C47EFB"/>
    <w:rsid w:val="00CE6420"/>
    <w:rsid w:val="00D34FFB"/>
    <w:rsid w:val="00D66C85"/>
    <w:rsid w:val="00D87605"/>
    <w:rsid w:val="00DF1BB3"/>
    <w:rsid w:val="00E27450"/>
    <w:rsid w:val="00ED5474"/>
    <w:rsid w:val="00EF161E"/>
    <w:rsid w:val="00F30F03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8AF6"/>
  <w15:chartTrackingRefBased/>
  <w15:docId w15:val="{8890EEFB-1DA0-453C-8207-25EA49EB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Rakoczy</dc:creator>
  <cp:keywords/>
  <dc:description/>
  <cp:lastModifiedBy>Monika Górecka</cp:lastModifiedBy>
  <cp:revision>2</cp:revision>
  <cp:lastPrinted>2025-09-11T08:00:00Z</cp:lastPrinted>
  <dcterms:created xsi:type="dcterms:W3CDTF">2025-09-12T08:17:00Z</dcterms:created>
  <dcterms:modified xsi:type="dcterms:W3CDTF">2025-09-12T08:17:00Z</dcterms:modified>
</cp:coreProperties>
</file>