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473C7" w14:textId="77777777" w:rsidR="00BF57A5" w:rsidRDefault="00BF57A5" w:rsidP="00BF57A5">
      <w:pPr>
        <w:spacing w:after="0" w:line="240" w:lineRule="auto"/>
        <w:jc w:val="both"/>
        <w:rPr>
          <w:rFonts w:ascii="Times New Roman" w:eastAsia="Times New Roman" w:hAnsi="Times New Roman" w:cs="Times New Roman"/>
          <w:sz w:val="24"/>
          <w:szCs w:val="24"/>
          <w:lang w:eastAsia="pl-PL"/>
        </w:rPr>
      </w:pPr>
      <w:bookmarkStart w:id="0" w:name="_GoBack"/>
      <w:bookmarkEnd w:id="0"/>
    </w:p>
    <w:p w14:paraId="279A7A41" w14:textId="77777777" w:rsidR="00BF57A5" w:rsidRDefault="00BF57A5" w:rsidP="00BF57A5">
      <w:pPr>
        <w:jc w:val="both"/>
        <w:rPr>
          <w:rFonts w:ascii="Garamond" w:hAnsi="Garamond"/>
          <w:sz w:val="26"/>
          <w:szCs w:val="26"/>
        </w:rPr>
      </w:pPr>
      <w:r>
        <w:rPr>
          <w:noProof/>
          <w:lang w:eastAsia="pl-PL"/>
        </w:rPr>
        <w:drawing>
          <wp:anchor distT="0" distB="0" distL="114300" distR="114300" simplePos="0" relativeHeight="251659264" behindDoc="0" locked="0" layoutInCell="1" allowOverlap="1" wp14:anchorId="3472B7B8" wp14:editId="2FFED46D">
            <wp:simplePos x="0" y="0"/>
            <wp:positionH relativeFrom="column">
              <wp:posOffset>593090</wp:posOffset>
            </wp:positionH>
            <wp:positionV relativeFrom="paragraph">
              <wp:posOffset>-191770</wp:posOffset>
            </wp:positionV>
            <wp:extent cx="501015" cy="47688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pic:spPr>
                </pic:pic>
              </a:graphicData>
            </a:graphic>
            <wp14:sizeRelH relativeFrom="page">
              <wp14:pctWidth>0</wp14:pctWidth>
            </wp14:sizeRelH>
            <wp14:sizeRelV relativeFrom="page">
              <wp14:pctHeight>0</wp14:pctHeight>
            </wp14:sizeRelV>
          </wp:anchor>
        </w:drawing>
      </w:r>
    </w:p>
    <w:p w14:paraId="6C50C4BC" w14:textId="77777777" w:rsidR="00BF57A5" w:rsidRDefault="00BF57A5" w:rsidP="00BF57A5">
      <w:pPr>
        <w:tabs>
          <w:tab w:val="center" w:pos="4536"/>
          <w:tab w:val="right" w:pos="9072"/>
        </w:tabs>
        <w:spacing w:after="0"/>
        <w:ind w:left="-851" w:right="5526"/>
        <w:jc w:val="both"/>
        <w:rPr>
          <w:rFonts w:ascii="Garamond" w:eastAsia="Times New Roman" w:hAnsi="Garamond" w:cs="Times New Roman"/>
          <w:b/>
          <w:sz w:val="8"/>
          <w:szCs w:val="8"/>
          <w:lang w:eastAsia="pl-PL"/>
        </w:rPr>
      </w:pPr>
    </w:p>
    <w:p w14:paraId="7198582E" w14:textId="77777777" w:rsidR="00BF57A5" w:rsidRDefault="00BF57A5" w:rsidP="00BF57A5">
      <w:pPr>
        <w:tabs>
          <w:tab w:val="center" w:pos="4536"/>
          <w:tab w:val="right" w:pos="9072"/>
        </w:tabs>
        <w:spacing w:after="0" w:line="240" w:lineRule="auto"/>
        <w:ind w:left="-851" w:right="5526"/>
        <w:jc w:val="center"/>
        <w:rPr>
          <w:rFonts w:ascii="Times New Roman" w:eastAsia="Times New Roman" w:hAnsi="Times New Roman" w:cs="Times New Roman"/>
          <w:b/>
          <w:sz w:val="24"/>
          <w:szCs w:val="24"/>
          <w:lang w:eastAsia="pl-PL"/>
        </w:rPr>
      </w:pPr>
      <w:r>
        <w:rPr>
          <w:rFonts w:ascii="Garamond" w:eastAsia="Times New Roman" w:hAnsi="Garamond" w:cs="Times New Roman"/>
          <w:b/>
          <w:sz w:val="24"/>
          <w:szCs w:val="24"/>
          <w:lang w:eastAsia="pl-PL"/>
        </w:rPr>
        <w:t>KRAJOWA SZKOŁA</w:t>
      </w:r>
    </w:p>
    <w:p w14:paraId="7C7BCE86" w14:textId="77777777" w:rsidR="00BF57A5" w:rsidRDefault="00BF57A5" w:rsidP="00BF57A5">
      <w:pPr>
        <w:tabs>
          <w:tab w:val="center" w:pos="4536"/>
          <w:tab w:val="right" w:pos="9072"/>
        </w:tabs>
        <w:spacing w:after="0" w:line="240" w:lineRule="auto"/>
        <w:ind w:left="-851" w:right="5526"/>
        <w:jc w:val="center"/>
        <w:rPr>
          <w:rFonts w:ascii="Garamond" w:eastAsia="Times New Roman" w:hAnsi="Garamond" w:cs="Times New Roman"/>
          <w:sz w:val="26"/>
          <w:szCs w:val="26"/>
          <w:lang w:eastAsia="pl-PL"/>
        </w:rPr>
      </w:pPr>
      <w:r>
        <w:rPr>
          <w:rFonts w:ascii="Garamond" w:eastAsia="Times New Roman" w:hAnsi="Garamond" w:cs="Times New Roman"/>
          <w:b/>
          <w:sz w:val="24"/>
          <w:szCs w:val="24"/>
          <w:lang w:eastAsia="pl-PL"/>
        </w:rPr>
        <w:t>SĄDOWNICTWA I PROKURATURY</w:t>
      </w:r>
      <w:r>
        <w:rPr>
          <w:rFonts w:ascii="Garamond" w:eastAsia="Times New Roman" w:hAnsi="Garamond" w:cs="Times New Roman"/>
          <w:sz w:val="24"/>
          <w:szCs w:val="24"/>
          <w:lang w:eastAsia="pl-PL"/>
        </w:rPr>
        <w:t xml:space="preserve"> </w:t>
      </w:r>
    </w:p>
    <w:p w14:paraId="34AEE796" w14:textId="77777777" w:rsidR="00BF57A5" w:rsidRDefault="00BF57A5" w:rsidP="00BF57A5">
      <w:pPr>
        <w:spacing w:after="0" w:line="360" w:lineRule="auto"/>
        <w:rPr>
          <w:rFonts w:ascii="Times New Roman" w:hAnsi="Times New Roman" w:cs="Times New Roman"/>
          <w:sz w:val="24"/>
          <w:szCs w:val="24"/>
        </w:rPr>
      </w:pPr>
      <w:r>
        <w:tab/>
        <w:t xml:space="preserve">                                      </w:t>
      </w:r>
    </w:p>
    <w:p w14:paraId="34F7378A" w14:textId="77777777" w:rsidR="00BF57A5" w:rsidRDefault="00BF57A5" w:rsidP="00BF57A5">
      <w:pPr>
        <w:spacing w:after="0" w:line="240" w:lineRule="auto"/>
        <w:jc w:val="both"/>
        <w:rPr>
          <w:rFonts w:ascii="Times New Roman" w:eastAsia="Times New Roman" w:hAnsi="Times New Roman" w:cs="Times New Roman"/>
          <w:sz w:val="24"/>
          <w:szCs w:val="24"/>
          <w:lang w:eastAsia="pl-PL"/>
        </w:rPr>
      </w:pPr>
    </w:p>
    <w:p w14:paraId="0B1A7F01" w14:textId="2CF0134B" w:rsidR="00BF57A5" w:rsidRDefault="00BF57A5" w:rsidP="00BF57A5">
      <w:pPr>
        <w:spacing w:after="0" w:line="240" w:lineRule="auto"/>
        <w:ind w:left="4956"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Kraków, dnia  </w:t>
      </w:r>
      <w:r w:rsidR="00263241">
        <w:rPr>
          <w:rFonts w:ascii="Times New Roman" w:eastAsia="Times New Roman" w:hAnsi="Times New Roman" w:cs="Times New Roman"/>
          <w:sz w:val="24"/>
          <w:szCs w:val="24"/>
          <w:lang w:eastAsia="pl-PL"/>
        </w:rPr>
        <w:t>27</w:t>
      </w:r>
      <w:r>
        <w:rPr>
          <w:rFonts w:ascii="Times New Roman" w:eastAsia="Times New Roman" w:hAnsi="Times New Roman" w:cs="Times New Roman"/>
          <w:sz w:val="24"/>
          <w:szCs w:val="24"/>
          <w:lang w:eastAsia="pl-PL"/>
        </w:rPr>
        <w:t xml:space="preserve"> maja 2022r.</w:t>
      </w:r>
    </w:p>
    <w:p w14:paraId="128702FC" w14:textId="77777777" w:rsidR="00BF57A5" w:rsidRDefault="00BF57A5" w:rsidP="00BF57A5">
      <w:pPr>
        <w:spacing w:after="0" w:line="240" w:lineRule="auto"/>
        <w:ind w:left="3240"/>
        <w:jc w:val="both"/>
        <w:rPr>
          <w:rFonts w:ascii="Times New Roman" w:eastAsia="Times New Roman" w:hAnsi="Times New Roman" w:cs="Times New Roman"/>
          <w:sz w:val="24"/>
          <w:szCs w:val="24"/>
          <w:lang w:eastAsia="pl-PL"/>
        </w:rPr>
      </w:pPr>
    </w:p>
    <w:p w14:paraId="608A4B2C" w14:textId="392F84CA" w:rsidR="00BF57A5" w:rsidRDefault="00BF57A5" w:rsidP="00BF57A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OAP-II.420.10.</w:t>
      </w:r>
      <w:r w:rsidR="00FC4D25">
        <w:rPr>
          <w:rFonts w:ascii="Times New Roman" w:eastAsia="Times New Roman" w:hAnsi="Times New Roman" w:cs="Times New Roman"/>
          <w:sz w:val="24"/>
          <w:szCs w:val="24"/>
          <w:lang w:eastAsia="pl-PL"/>
        </w:rPr>
        <w:t>1</w:t>
      </w:r>
      <w:r w:rsidR="000B55C6">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.2022</w:t>
      </w:r>
    </w:p>
    <w:p w14:paraId="33AB56B1" w14:textId="77777777" w:rsidR="00BF57A5" w:rsidRDefault="00BF57A5" w:rsidP="00BF57A5">
      <w:pPr>
        <w:suppressAutoHyphens/>
        <w:spacing w:before="120" w:after="120"/>
        <w:ind w:left="4536"/>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Patroni Koordynatorzy</w:t>
      </w:r>
    </w:p>
    <w:p w14:paraId="4F298BC8" w14:textId="77777777" w:rsidR="00BF57A5" w:rsidRDefault="00BF57A5" w:rsidP="00BF57A5">
      <w:pPr>
        <w:suppressAutoHyphens/>
        <w:spacing w:before="120" w:after="120"/>
        <w:ind w:left="4536"/>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oraz Patroni Praktyk</w:t>
      </w:r>
    </w:p>
    <w:p w14:paraId="07E45C70" w14:textId="77777777" w:rsidR="00BF57A5" w:rsidRDefault="00BF57A5" w:rsidP="00BF57A5">
      <w:pPr>
        <w:suppressAutoHyphens/>
        <w:spacing w:before="120" w:after="120"/>
        <w:ind w:left="4536"/>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aplikantów aplikacji prokuratorskiej</w:t>
      </w:r>
    </w:p>
    <w:p w14:paraId="5EBAF3ED" w14:textId="77777777" w:rsidR="00BF57A5" w:rsidRDefault="00BF57A5" w:rsidP="00BF57A5">
      <w:pPr>
        <w:suppressAutoHyphens/>
        <w:spacing w:before="120" w:after="120"/>
        <w:ind w:left="3240"/>
        <w:jc w:val="right"/>
        <w:rPr>
          <w:rFonts w:ascii="Times New Roman" w:eastAsia="Times New Roman" w:hAnsi="Times New Roman" w:cs="Times New Roman"/>
          <w:b/>
          <w:sz w:val="24"/>
          <w:szCs w:val="24"/>
          <w:lang w:eastAsia="zh-CN"/>
        </w:rPr>
      </w:pPr>
    </w:p>
    <w:p w14:paraId="452CB0A0" w14:textId="57196382" w:rsidR="00BF57A5" w:rsidRDefault="00BF57A5" w:rsidP="00BF57A5">
      <w:pPr>
        <w:suppressAutoHyphens/>
        <w:spacing w:before="120" w:after="120"/>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Dotyczy praktyk aplikantów aplikacji uzupełniającej prokuratorskiej II rocznika po 2</w:t>
      </w:r>
      <w:r w:rsidR="000B55C6">
        <w:rPr>
          <w:rFonts w:ascii="Times New Roman" w:eastAsia="Times New Roman" w:hAnsi="Times New Roman" w:cs="Times New Roman"/>
          <w:b/>
          <w:sz w:val="24"/>
          <w:szCs w:val="24"/>
          <w:lang w:eastAsia="zh-CN"/>
        </w:rPr>
        <w:t>9</w:t>
      </w:r>
      <w:r>
        <w:rPr>
          <w:rFonts w:ascii="Times New Roman" w:eastAsia="Times New Roman" w:hAnsi="Times New Roman" w:cs="Times New Roman"/>
          <w:b/>
          <w:sz w:val="24"/>
          <w:szCs w:val="24"/>
          <w:lang w:eastAsia="zh-CN"/>
        </w:rPr>
        <w:t>. zjeździe</w:t>
      </w:r>
    </w:p>
    <w:p w14:paraId="5E80C8AF" w14:textId="77777777" w:rsidR="00BF57A5" w:rsidRDefault="00BF57A5" w:rsidP="00BF57A5">
      <w:pPr>
        <w:suppressAutoHyphens/>
        <w:spacing w:before="120" w:after="120"/>
        <w:jc w:val="both"/>
        <w:rPr>
          <w:rFonts w:ascii="Times New Roman" w:eastAsia="Times New Roman" w:hAnsi="Times New Roman" w:cs="Times New Roman"/>
          <w:b/>
          <w:sz w:val="24"/>
          <w:szCs w:val="24"/>
          <w:lang w:eastAsia="zh-CN"/>
        </w:rPr>
      </w:pPr>
    </w:p>
    <w:p w14:paraId="0D9FC442" w14:textId="6192DE4A" w:rsidR="00BF57A5" w:rsidRDefault="00BF57A5" w:rsidP="00BF57A5">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W oparciu o § 2, 9 i 10 zarządzenia Dyrektora Krajowej Szkoły Sądownictwa</w:t>
      </w:r>
      <w:r>
        <w:rPr>
          <w:rFonts w:ascii="Times New Roman" w:eastAsia="Times New Roman" w:hAnsi="Times New Roman"/>
          <w:sz w:val="24"/>
          <w:szCs w:val="24"/>
        </w:rPr>
        <w:br/>
        <w:t xml:space="preserve">i Prokuratury Nr 132/2019 z dnia 15 marca 2019 roku sygn. OAS-III.400.2019, OAP-III.400.2.2019 w sprawie szczegółowych zasad odbywania praktyki przez aplikantów aplikacji sędziowskiej i prokuratorskiej, uprzejmie przedstawiam szczegółowy zakres tematyczny, który powinien być przedmiotem praktyk aplikantów aplikacji uzupełniającej prokuratorskiej, </w:t>
      </w:r>
      <w:r>
        <w:rPr>
          <w:rFonts w:ascii="Times New Roman" w:eastAsia="Times New Roman" w:hAnsi="Times New Roman" w:cs="Times New Roman"/>
          <w:sz w:val="24"/>
          <w:szCs w:val="24"/>
          <w:lang w:eastAsia="pl-PL"/>
        </w:rPr>
        <w:t xml:space="preserve">odbywanych w wymiarze </w:t>
      </w:r>
      <w:r>
        <w:rPr>
          <w:rFonts w:ascii="Times New Roman" w:eastAsia="Times New Roman" w:hAnsi="Times New Roman" w:cs="Times New Roman"/>
          <w:b/>
          <w:sz w:val="24"/>
          <w:szCs w:val="24"/>
          <w:lang w:eastAsia="pl-PL"/>
        </w:rPr>
        <w:t xml:space="preserve">1 dnia w okresie od </w:t>
      </w:r>
      <w:r w:rsidR="000B55C6">
        <w:rPr>
          <w:rFonts w:ascii="Times New Roman" w:eastAsia="Times New Roman" w:hAnsi="Times New Roman" w:cs="Times New Roman"/>
          <w:b/>
          <w:sz w:val="24"/>
          <w:szCs w:val="24"/>
          <w:lang w:eastAsia="pl-PL"/>
        </w:rPr>
        <w:t xml:space="preserve">7 </w:t>
      </w:r>
      <w:r>
        <w:rPr>
          <w:rFonts w:ascii="Times New Roman" w:eastAsia="Times New Roman" w:hAnsi="Times New Roman" w:cs="Times New Roman"/>
          <w:b/>
          <w:sz w:val="24"/>
          <w:szCs w:val="24"/>
          <w:lang w:eastAsia="pl-PL"/>
        </w:rPr>
        <w:t xml:space="preserve">do </w:t>
      </w:r>
      <w:r w:rsidR="000B55C6">
        <w:rPr>
          <w:rFonts w:ascii="Times New Roman" w:eastAsia="Times New Roman" w:hAnsi="Times New Roman" w:cs="Times New Roman"/>
          <w:b/>
          <w:sz w:val="24"/>
          <w:szCs w:val="24"/>
          <w:lang w:eastAsia="pl-PL"/>
        </w:rPr>
        <w:t>10 listopada</w:t>
      </w:r>
      <w:r>
        <w:rPr>
          <w:rFonts w:ascii="Times New Roman" w:eastAsia="Times New Roman" w:hAnsi="Times New Roman" w:cs="Times New Roman"/>
          <w:b/>
          <w:sz w:val="24"/>
          <w:szCs w:val="24"/>
          <w:lang w:eastAsia="pl-PL"/>
        </w:rPr>
        <w:t xml:space="preserve"> 2022 roku oraz 1 dnia w okresie od </w:t>
      </w:r>
      <w:r w:rsidR="000B55C6">
        <w:rPr>
          <w:rFonts w:ascii="Times New Roman" w:eastAsia="Times New Roman" w:hAnsi="Times New Roman" w:cs="Times New Roman"/>
          <w:b/>
          <w:sz w:val="24"/>
          <w:szCs w:val="24"/>
          <w:lang w:eastAsia="pl-PL"/>
        </w:rPr>
        <w:t>14</w:t>
      </w:r>
      <w:r>
        <w:rPr>
          <w:rFonts w:ascii="Times New Roman" w:eastAsia="Times New Roman" w:hAnsi="Times New Roman" w:cs="Times New Roman"/>
          <w:b/>
          <w:sz w:val="24"/>
          <w:szCs w:val="24"/>
          <w:lang w:eastAsia="pl-PL"/>
        </w:rPr>
        <w:t xml:space="preserve"> </w:t>
      </w:r>
      <w:r w:rsidR="00E7101B">
        <w:rPr>
          <w:rFonts w:ascii="Times New Roman" w:eastAsia="Times New Roman" w:hAnsi="Times New Roman" w:cs="Times New Roman"/>
          <w:b/>
          <w:sz w:val="24"/>
          <w:szCs w:val="24"/>
          <w:lang w:eastAsia="pl-PL"/>
        </w:rPr>
        <w:t xml:space="preserve">do </w:t>
      </w:r>
      <w:r w:rsidR="000B55C6">
        <w:rPr>
          <w:rFonts w:ascii="Times New Roman" w:eastAsia="Times New Roman" w:hAnsi="Times New Roman" w:cs="Times New Roman"/>
          <w:b/>
          <w:sz w:val="24"/>
          <w:szCs w:val="24"/>
          <w:lang w:eastAsia="pl-PL"/>
        </w:rPr>
        <w:t>18</w:t>
      </w:r>
      <w:r w:rsidR="00E7101B">
        <w:rPr>
          <w:rFonts w:ascii="Times New Roman" w:eastAsia="Times New Roman" w:hAnsi="Times New Roman" w:cs="Times New Roman"/>
          <w:b/>
          <w:sz w:val="24"/>
          <w:szCs w:val="24"/>
          <w:lang w:eastAsia="pl-PL"/>
        </w:rPr>
        <w:t xml:space="preserve"> listopada </w:t>
      </w:r>
      <w:r>
        <w:rPr>
          <w:rFonts w:ascii="Times New Roman" w:eastAsia="Times New Roman" w:hAnsi="Times New Roman" w:cs="Times New Roman"/>
          <w:b/>
          <w:sz w:val="24"/>
          <w:szCs w:val="24"/>
          <w:lang w:eastAsia="pl-PL"/>
        </w:rPr>
        <w:t xml:space="preserve">2022 roku </w:t>
      </w:r>
      <w:r>
        <w:rPr>
          <w:rFonts w:ascii="Times New Roman" w:eastAsia="Times New Roman" w:hAnsi="Times New Roman"/>
          <w:sz w:val="24"/>
          <w:szCs w:val="24"/>
        </w:rPr>
        <w:t xml:space="preserve">odbywanych w </w:t>
      </w:r>
      <w:r w:rsidR="000B55C6">
        <w:rPr>
          <w:rFonts w:ascii="Times New Roman" w:eastAsia="Times New Roman" w:hAnsi="Times New Roman"/>
          <w:sz w:val="24"/>
          <w:szCs w:val="24"/>
        </w:rPr>
        <w:t>Wojewódzkim Sądzie Administracyjnym – wydziały, w których rozpoznawane są sprawy z zakresu prawa o ruchu drogowym i kierujących pojazdami oraz prawa pomocy społecznej</w:t>
      </w:r>
      <w:r>
        <w:rPr>
          <w:rFonts w:ascii="Times New Roman" w:eastAsia="Times New Roman" w:hAnsi="Times New Roman"/>
          <w:sz w:val="24"/>
          <w:szCs w:val="24"/>
        </w:rPr>
        <w:t xml:space="preserve">.  </w:t>
      </w:r>
    </w:p>
    <w:p w14:paraId="4538D3EB" w14:textId="77777777" w:rsidR="00BF57A5" w:rsidRDefault="00BF57A5" w:rsidP="00BF57A5">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Zasadniczym celem praktyk jest zaznajomienie aplikantów z czynnościami i metodyką pracy patrona oraz doskonalenie umiejętności wykorzystania wiedzy teoretycznej</w:t>
      </w:r>
      <w:r>
        <w:rPr>
          <w:rFonts w:ascii="Times New Roman" w:eastAsia="Times New Roman" w:hAnsi="Times New Roman"/>
          <w:sz w:val="24"/>
          <w:szCs w:val="24"/>
        </w:rPr>
        <w:br/>
        <w:t xml:space="preserve">i znajomości orzecznictwa. Każdorazowo praktyka winna utrwalić wiedzę zdobytą podczas bezpośrednio poprzedzających ją zajęć seminaryjnych w ramach zjazdu. </w:t>
      </w:r>
    </w:p>
    <w:p w14:paraId="7CD6B065" w14:textId="41A87008" w:rsidR="005303B9" w:rsidRDefault="00BF57A5" w:rsidP="005303B9">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Przedmiotem </w:t>
      </w:r>
      <w:r w:rsidR="005303B9">
        <w:rPr>
          <w:rFonts w:ascii="Times New Roman" w:eastAsia="Times New Roman" w:hAnsi="Times New Roman"/>
          <w:sz w:val="24"/>
          <w:szCs w:val="24"/>
        </w:rPr>
        <w:t>2</w:t>
      </w:r>
      <w:r w:rsidR="000B55C6">
        <w:rPr>
          <w:rFonts w:ascii="Times New Roman" w:eastAsia="Times New Roman" w:hAnsi="Times New Roman"/>
          <w:sz w:val="24"/>
          <w:szCs w:val="24"/>
        </w:rPr>
        <w:t>9</w:t>
      </w:r>
      <w:r>
        <w:rPr>
          <w:rFonts w:ascii="Times New Roman" w:eastAsia="Times New Roman" w:hAnsi="Times New Roman"/>
          <w:sz w:val="24"/>
          <w:szCs w:val="24"/>
        </w:rPr>
        <w:t xml:space="preserve"> zjazdu aplikacji prokuratorskiej, który odbędzie w dniach </w:t>
      </w:r>
      <w:r w:rsidR="000B55C6">
        <w:rPr>
          <w:rFonts w:ascii="Times New Roman" w:eastAsia="Times New Roman" w:hAnsi="Times New Roman"/>
          <w:sz w:val="24"/>
          <w:szCs w:val="24"/>
        </w:rPr>
        <w:t>5-6 listopada</w:t>
      </w:r>
      <w:r>
        <w:rPr>
          <w:rFonts w:ascii="Times New Roman" w:eastAsia="Times New Roman" w:hAnsi="Times New Roman"/>
          <w:sz w:val="24"/>
          <w:szCs w:val="24"/>
        </w:rPr>
        <w:t xml:space="preserve">  2022 roku, będą następujące zagadnienia:</w:t>
      </w:r>
    </w:p>
    <w:p w14:paraId="4AA73A71" w14:textId="77777777" w:rsidR="000B55C6" w:rsidRPr="007D1A67" w:rsidRDefault="000B55C6" w:rsidP="000B55C6">
      <w:pPr>
        <w:pStyle w:val="Akapitzlist"/>
        <w:numPr>
          <w:ilvl w:val="0"/>
          <w:numId w:val="12"/>
        </w:numPr>
        <w:spacing w:after="0" w:line="360" w:lineRule="auto"/>
        <w:jc w:val="both"/>
        <w:rPr>
          <w:rFonts w:ascii="Times New Roman" w:eastAsia="Times New Roman" w:hAnsi="Times New Roman" w:cs="Times New Roman"/>
          <w:bCs/>
          <w:sz w:val="24"/>
          <w:szCs w:val="24"/>
          <w:lang w:eastAsia="pl-PL"/>
        </w:rPr>
      </w:pPr>
      <w:r w:rsidRPr="007D1A67">
        <w:rPr>
          <w:rFonts w:ascii="Times New Roman" w:eastAsia="Times New Roman" w:hAnsi="Times New Roman" w:cs="Times New Roman"/>
          <w:bCs/>
          <w:sz w:val="24"/>
          <w:szCs w:val="24"/>
          <w:lang w:eastAsia="pl-PL"/>
        </w:rPr>
        <w:t>Ustrój sądów administracyjnych i postępowanie przed sądami administracyjnymi.</w:t>
      </w:r>
    </w:p>
    <w:p w14:paraId="0C79CDB5" w14:textId="77777777" w:rsidR="000B55C6" w:rsidRPr="00B1685A" w:rsidRDefault="000B55C6" w:rsidP="000B55C6">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 xml:space="preserve">Wybrane zagadnienia </w:t>
      </w:r>
      <w:r>
        <w:rPr>
          <w:rFonts w:ascii="Times New Roman" w:eastAsia="Times New Roman" w:hAnsi="Times New Roman" w:cs="Times New Roman"/>
          <w:bCs/>
          <w:sz w:val="24"/>
          <w:szCs w:val="24"/>
          <w:lang w:eastAsia="pl-PL"/>
        </w:rPr>
        <w:t xml:space="preserve">Konstytucji RP oraz </w:t>
      </w:r>
      <w:r w:rsidRPr="00B1685A">
        <w:rPr>
          <w:rFonts w:ascii="Times New Roman" w:eastAsia="Times New Roman" w:hAnsi="Times New Roman" w:cs="Times New Roman"/>
          <w:bCs/>
          <w:sz w:val="24"/>
          <w:szCs w:val="24"/>
          <w:lang w:eastAsia="pl-PL"/>
        </w:rPr>
        <w:t>ustaw:</w:t>
      </w:r>
    </w:p>
    <w:p w14:paraId="37D54543" w14:textId="77777777" w:rsidR="000B55C6" w:rsidRPr="00B1685A" w:rsidRDefault="000B55C6" w:rsidP="000B55C6">
      <w:pPr>
        <w:numPr>
          <w:ilvl w:val="0"/>
          <w:numId w:val="10"/>
        </w:num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 xml:space="preserve"> Prawo o ustroju s</w:t>
      </w:r>
      <w:r>
        <w:rPr>
          <w:rFonts w:ascii="Times New Roman" w:eastAsia="Times New Roman" w:hAnsi="Times New Roman" w:cs="Times New Roman"/>
          <w:bCs/>
          <w:sz w:val="24"/>
          <w:szCs w:val="24"/>
          <w:lang w:eastAsia="pl-PL"/>
        </w:rPr>
        <w:t>ądów administracyjnych</w:t>
      </w:r>
      <w:r w:rsidRPr="00B1685A">
        <w:rPr>
          <w:rFonts w:ascii="Times New Roman" w:eastAsia="Times New Roman" w:hAnsi="Times New Roman" w:cs="Times New Roman"/>
          <w:bCs/>
          <w:sz w:val="24"/>
          <w:szCs w:val="24"/>
          <w:lang w:eastAsia="pl-PL"/>
        </w:rPr>
        <w:t xml:space="preserve">; </w:t>
      </w:r>
    </w:p>
    <w:p w14:paraId="0BCEF123" w14:textId="77777777" w:rsidR="000B55C6" w:rsidRPr="00B1685A" w:rsidRDefault="000B55C6" w:rsidP="000B55C6">
      <w:pPr>
        <w:numPr>
          <w:ilvl w:val="0"/>
          <w:numId w:val="10"/>
        </w:num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Prawo o postępowaniu przed sądami administracyj</w:t>
      </w:r>
      <w:r>
        <w:rPr>
          <w:rFonts w:ascii="Times New Roman" w:eastAsia="Times New Roman" w:hAnsi="Times New Roman" w:cs="Times New Roman"/>
          <w:bCs/>
          <w:sz w:val="24"/>
          <w:szCs w:val="24"/>
          <w:lang w:eastAsia="pl-PL"/>
        </w:rPr>
        <w:t>nymi</w:t>
      </w:r>
      <w:r w:rsidRPr="00B1685A">
        <w:rPr>
          <w:rFonts w:ascii="Times New Roman" w:eastAsia="Times New Roman" w:hAnsi="Times New Roman" w:cs="Times New Roman"/>
          <w:bCs/>
          <w:sz w:val="24"/>
          <w:szCs w:val="24"/>
          <w:lang w:eastAsia="pl-PL"/>
        </w:rPr>
        <w:t>.</w:t>
      </w:r>
    </w:p>
    <w:p w14:paraId="1D057E5E" w14:textId="77777777" w:rsidR="000B55C6" w:rsidRPr="00B1685A" w:rsidRDefault="000B55C6" w:rsidP="000B55C6">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lastRenderedPageBreak/>
        <w:t>Kompetencje sądów administracyjnych. Przebieg postępowania, w tym rodzaje orzeczeń i środki zaskarżenia. Pozycja prokuratora w postępowaniu.</w:t>
      </w:r>
    </w:p>
    <w:p w14:paraId="76CDADE4" w14:textId="77777777" w:rsidR="000B55C6" w:rsidRPr="007D1A67" w:rsidRDefault="000B55C6" w:rsidP="000B55C6">
      <w:pPr>
        <w:pStyle w:val="Akapitzlist"/>
        <w:numPr>
          <w:ilvl w:val="0"/>
          <w:numId w:val="12"/>
        </w:numPr>
        <w:spacing w:after="0" w:line="360" w:lineRule="auto"/>
        <w:jc w:val="both"/>
        <w:rPr>
          <w:rFonts w:ascii="Times New Roman" w:eastAsia="Times New Roman" w:hAnsi="Times New Roman" w:cs="Times New Roman"/>
          <w:bCs/>
          <w:sz w:val="24"/>
          <w:szCs w:val="24"/>
          <w:lang w:eastAsia="pl-PL"/>
        </w:rPr>
      </w:pPr>
      <w:r w:rsidRPr="007D1A67">
        <w:rPr>
          <w:rFonts w:ascii="Times New Roman" w:eastAsia="Times New Roman" w:hAnsi="Times New Roman" w:cs="Times New Roman"/>
          <w:bCs/>
          <w:sz w:val="24"/>
          <w:szCs w:val="24"/>
          <w:lang w:eastAsia="pl-PL"/>
        </w:rPr>
        <w:t>Wybrane zagadnienia prawa administracyjnego materialnego.</w:t>
      </w:r>
    </w:p>
    <w:p w14:paraId="4B950A8C" w14:textId="77777777" w:rsidR="000B55C6" w:rsidRPr="00B1685A" w:rsidRDefault="000B55C6" w:rsidP="000B55C6">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Ustawy:</w:t>
      </w:r>
    </w:p>
    <w:p w14:paraId="2FC28D7A" w14:textId="77777777" w:rsidR="000B55C6" w:rsidRPr="00B1685A" w:rsidRDefault="000B55C6" w:rsidP="000B55C6">
      <w:pPr>
        <w:numPr>
          <w:ilvl w:val="0"/>
          <w:numId w:val="11"/>
        </w:num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Prawo o ruchu drogowym</w:t>
      </w:r>
      <w:r w:rsidRPr="00B1685A">
        <w:rPr>
          <w:rFonts w:ascii="Times New Roman" w:eastAsia="Times New Roman" w:hAnsi="Times New Roman" w:cs="Times New Roman"/>
          <w:bCs/>
          <w:sz w:val="24"/>
          <w:szCs w:val="24"/>
          <w:lang w:eastAsia="pl-PL"/>
        </w:rPr>
        <w:t xml:space="preserve">; </w:t>
      </w:r>
    </w:p>
    <w:p w14:paraId="55BA5B62" w14:textId="77777777" w:rsidR="000B55C6" w:rsidRPr="00B1685A" w:rsidRDefault="000B55C6" w:rsidP="000B55C6">
      <w:pPr>
        <w:numPr>
          <w:ilvl w:val="0"/>
          <w:numId w:val="11"/>
        </w:num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 xml:space="preserve"> o kierujących pojazd</w:t>
      </w:r>
      <w:r>
        <w:rPr>
          <w:rFonts w:ascii="Times New Roman" w:eastAsia="Times New Roman" w:hAnsi="Times New Roman" w:cs="Times New Roman"/>
          <w:bCs/>
          <w:sz w:val="24"/>
          <w:szCs w:val="24"/>
          <w:lang w:eastAsia="pl-PL"/>
        </w:rPr>
        <w:t>ami</w:t>
      </w:r>
      <w:r w:rsidRPr="00B1685A">
        <w:rPr>
          <w:rFonts w:ascii="Times New Roman" w:eastAsia="Times New Roman" w:hAnsi="Times New Roman" w:cs="Times New Roman"/>
          <w:bCs/>
          <w:sz w:val="24"/>
          <w:szCs w:val="24"/>
          <w:lang w:eastAsia="pl-PL"/>
        </w:rPr>
        <w:t>;</w:t>
      </w:r>
    </w:p>
    <w:p w14:paraId="6950A52D" w14:textId="77777777" w:rsidR="000B55C6" w:rsidRPr="00B1685A" w:rsidRDefault="000B55C6" w:rsidP="000B55C6">
      <w:pPr>
        <w:numPr>
          <w:ilvl w:val="0"/>
          <w:numId w:val="11"/>
        </w:num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 xml:space="preserve"> o pomocy społ</w:t>
      </w:r>
      <w:r>
        <w:rPr>
          <w:rFonts w:ascii="Times New Roman" w:eastAsia="Times New Roman" w:hAnsi="Times New Roman" w:cs="Times New Roman"/>
          <w:bCs/>
          <w:sz w:val="24"/>
          <w:szCs w:val="24"/>
          <w:lang w:eastAsia="pl-PL"/>
        </w:rPr>
        <w:t>ecznej</w:t>
      </w:r>
      <w:r w:rsidRPr="00B1685A">
        <w:rPr>
          <w:rFonts w:ascii="Times New Roman" w:eastAsia="Times New Roman" w:hAnsi="Times New Roman" w:cs="Times New Roman"/>
          <w:bCs/>
          <w:sz w:val="24"/>
          <w:szCs w:val="24"/>
          <w:lang w:eastAsia="pl-PL"/>
        </w:rPr>
        <w:t xml:space="preserve">. </w:t>
      </w:r>
    </w:p>
    <w:p w14:paraId="55DDA2BC" w14:textId="77777777" w:rsidR="000B55C6" w:rsidRPr="00B1685A" w:rsidRDefault="000B55C6" w:rsidP="000B55C6">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Główne zasady Prawa o ruchu drogowym ze szczególnym uwzględnieniem zagadnień na pograniczu prawa karnego, w tym procedury naliczania punktów karnych, kierowania prowadzących pojazdy na badania, wymiany dokumentów prawa jazdy i cofania uprawnień do kierowania pojazdami. Podstawowe zasady prawa pomocy społecznej, w tym przesłanki przyznawania i cofania świadczeń pomocy społecznej i ich rodzaje.</w:t>
      </w:r>
    </w:p>
    <w:p w14:paraId="32B8FC03" w14:textId="77777777" w:rsidR="000B55C6" w:rsidRPr="007D1A67" w:rsidRDefault="000B55C6" w:rsidP="000B55C6">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sidRPr="007D1A67">
        <w:rPr>
          <w:rFonts w:ascii="Times New Roman" w:eastAsia="Times New Roman" w:hAnsi="Times New Roman" w:cs="Times New Roman"/>
          <w:sz w:val="24"/>
          <w:szCs w:val="24"/>
          <w:lang w:eastAsia="pl-PL"/>
        </w:rPr>
        <w:t xml:space="preserve">Udział prokuratora w postępowaniu </w:t>
      </w:r>
      <w:proofErr w:type="spellStart"/>
      <w:r w:rsidRPr="007D1A67">
        <w:rPr>
          <w:rFonts w:ascii="Times New Roman" w:eastAsia="Times New Roman" w:hAnsi="Times New Roman" w:cs="Times New Roman"/>
          <w:sz w:val="24"/>
          <w:szCs w:val="24"/>
          <w:lang w:eastAsia="pl-PL"/>
        </w:rPr>
        <w:t>sądowoadministracyjnym</w:t>
      </w:r>
      <w:proofErr w:type="spellEnd"/>
      <w:r w:rsidRPr="007D1A67">
        <w:rPr>
          <w:rFonts w:ascii="Times New Roman" w:eastAsia="Times New Roman" w:hAnsi="Times New Roman" w:cs="Times New Roman"/>
          <w:sz w:val="24"/>
          <w:szCs w:val="24"/>
          <w:lang w:eastAsia="pl-PL"/>
        </w:rPr>
        <w:t xml:space="preserve">. </w:t>
      </w:r>
    </w:p>
    <w:p w14:paraId="7DA8C046" w14:textId="77777777" w:rsidR="000B55C6" w:rsidRPr="007D1A67" w:rsidRDefault="000B55C6" w:rsidP="000B55C6">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 xml:space="preserve">Zasady udziału prokuratora w postępowaniu </w:t>
      </w:r>
      <w:proofErr w:type="spellStart"/>
      <w:r w:rsidRPr="00B1685A">
        <w:rPr>
          <w:rFonts w:ascii="Times New Roman" w:eastAsia="Times New Roman" w:hAnsi="Times New Roman" w:cs="Times New Roman"/>
          <w:bCs/>
          <w:sz w:val="24"/>
          <w:szCs w:val="24"/>
          <w:lang w:eastAsia="pl-PL"/>
        </w:rPr>
        <w:t>sądowoadministracyjnym</w:t>
      </w:r>
      <w:proofErr w:type="spellEnd"/>
      <w:r w:rsidRPr="00B1685A">
        <w:rPr>
          <w:rFonts w:ascii="Times New Roman" w:eastAsia="Times New Roman" w:hAnsi="Times New Roman" w:cs="Times New Roman"/>
          <w:bCs/>
          <w:sz w:val="24"/>
          <w:szCs w:val="24"/>
          <w:lang w:eastAsia="pl-PL"/>
        </w:rPr>
        <w:t>. Formy udziału: skierowanie skargi; zgłoszenie udziału, w tym na etapie kierowania skargi kasacyjnej; sprzeciw a skarga do sądu administracyjnego. Regulacje szczególne zawarte w Regulaminie wewnętrznego urzędowania powszechnych jednostek organizacyjnych prokuratury.</w:t>
      </w:r>
    </w:p>
    <w:p w14:paraId="4DE53EAE" w14:textId="77777777" w:rsidR="000B55C6" w:rsidRPr="00277B64" w:rsidRDefault="000B55C6" w:rsidP="000B55C6">
      <w:pPr>
        <w:spacing w:after="0" w:line="360" w:lineRule="auto"/>
        <w:ind w:firstLine="708"/>
        <w:jc w:val="both"/>
        <w:rPr>
          <w:rFonts w:ascii="Times New Roman" w:eastAsia="Times New Roman" w:hAnsi="Times New Roman" w:cs="Times New Roman"/>
          <w:sz w:val="24"/>
          <w:szCs w:val="24"/>
          <w:lang w:eastAsia="pl-PL"/>
        </w:rPr>
      </w:pPr>
    </w:p>
    <w:p w14:paraId="6EA27FC9" w14:textId="77777777" w:rsidR="000B55C6" w:rsidRDefault="000B55C6" w:rsidP="000B55C6">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 wojewódzkich sądach administracyjnych – wydziałach, w których rozpoznawane są sprawy z zakresu prawa o ruchu drogowym i kierujących pojazdami oraz prawa pomocy społecznej</w:t>
      </w:r>
      <w:r w:rsidRPr="004B2BA7">
        <w:rPr>
          <w:rFonts w:ascii="Times New Roman" w:eastAsia="Times New Roman" w:hAnsi="Times New Roman" w:cs="Times New Roman"/>
          <w:sz w:val="24"/>
          <w:szCs w:val="24"/>
          <w:lang w:eastAsia="pl-PL"/>
        </w:rPr>
        <w:t xml:space="preserve"> jest </w:t>
      </w:r>
      <w:r>
        <w:rPr>
          <w:rFonts w:ascii="Times New Roman" w:eastAsia="Times New Roman" w:hAnsi="Times New Roman" w:cs="Times New Roman"/>
          <w:sz w:val="24"/>
          <w:szCs w:val="24"/>
          <w:lang w:eastAsia="pl-PL"/>
        </w:rPr>
        <w:t xml:space="preserve">zapoznanie się ze sposobem rozpatrywania skarg kierowanych do sądu administracyjnego, udział w posiedzeniach jawnych, ze szczególnym uwzględnieniem spraw, w których prokurator wniósł skargę lub przystąpił do toczącego się postępowania </w:t>
      </w:r>
      <w:proofErr w:type="spellStart"/>
      <w:r>
        <w:rPr>
          <w:rFonts w:ascii="Times New Roman" w:eastAsia="Times New Roman" w:hAnsi="Times New Roman" w:cs="Times New Roman"/>
          <w:sz w:val="24"/>
          <w:szCs w:val="24"/>
          <w:lang w:eastAsia="pl-PL"/>
        </w:rPr>
        <w:t>sądowoadministracyjnego</w:t>
      </w:r>
      <w:proofErr w:type="spellEnd"/>
      <w:r>
        <w:rPr>
          <w:rFonts w:ascii="Times New Roman" w:eastAsia="Times New Roman" w:hAnsi="Times New Roman" w:cs="Times New Roman"/>
          <w:sz w:val="24"/>
          <w:szCs w:val="24"/>
          <w:lang w:eastAsia="pl-PL"/>
        </w:rPr>
        <w:t xml:space="preserve">, a także opanowanie umiejętności sporządzania skarg do WSA. </w:t>
      </w:r>
    </w:p>
    <w:p w14:paraId="6B0D3568" w14:textId="1FE7ADE3" w:rsidR="000B55C6" w:rsidRPr="004A20F9" w:rsidRDefault="000B55C6" w:rsidP="000B55C6">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Wobec powyższego patroni praktyk powinni zadbać, aby aplikanci w czasie praktyk mieli możliwość zapoznania się z praktyczną stroną pracy sędziego w zakresie objętym tematyką zjazdu, a w szczególności w aspekcie nabycia umiejętności formalnej i merytorycznej oceny skargi do wojewódzkiego sądu administracyjnego. Stą</w:t>
      </w:r>
      <w:r>
        <w:rPr>
          <w:rFonts w:ascii="Times New Roman" w:eastAsia="Times New Roman" w:hAnsi="Times New Roman" w:cs="Times New Roman"/>
          <w:sz w:val="24"/>
          <w:szCs w:val="24"/>
          <w:lang w:eastAsia="pl-PL"/>
        </w:rPr>
        <w:t>d też przedmiotem praktyk po 29</w:t>
      </w:r>
      <w:r w:rsidRPr="00835DA5">
        <w:rPr>
          <w:rFonts w:ascii="Times New Roman" w:eastAsia="Times New Roman" w:hAnsi="Times New Roman" w:cs="Times New Roman"/>
          <w:sz w:val="24"/>
          <w:szCs w:val="24"/>
          <w:lang w:eastAsia="pl-PL"/>
        </w:rPr>
        <w:t xml:space="preserve"> zjeździe aplikacji prokuratorskiej powinno w szczególności być:</w:t>
      </w:r>
      <w:r w:rsidRPr="004A20F9">
        <w:rPr>
          <w:rFonts w:ascii="Times New Roman" w:eastAsia="Times New Roman" w:hAnsi="Times New Roman" w:cs="Times New Roman"/>
          <w:sz w:val="24"/>
          <w:szCs w:val="24"/>
          <w:lang w:eastAsia="pl-PL"/>
        </w:rPr>
        <w:t xml:space="preserve"> </w:t>
      </w:r>
    </w:p>
    <w:p w14:paraId="74C6CC7E" w14:textId="77777777" w:rsidR="000B55C6" w:rsidRPr="004A20F9" w:rsidRDefault="000B55C6" w:rsidP="000B55C6">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zapoznanie się z pracą sędziów w zakresie przygotowania rozpraw i posiedzeń sądu; </w:t>
      </w:r>
    </w:p>
    <w:p w14:paraId="099FE567" w14:textId="77777777" w:rsidR="000B55C6" w:rsidRPr="00835DA5" w:rsidRDefault="000B55C6" w:rsidP="000B55C6">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835DA5">
        <w:rPr>
          <w:rFonts w:ascii="Times New Roman" w:eastAsia="Times New Roman" w:hAnsi="Times New Roman" w:cs="Times New Roman"/>
          <w:sz w:val="24"/>
          <w:szCs w:val="24"/>
          <w:lang w:eastAsia="pl-PL"/>
        </w:rPr>
        <w:t xml:space="preserve">analiza różnorodnych akt spraw w przedmiocie rozpoznania przez sąd skarg inicjujących kontrolę działalności administracji publicznej oraz w innych sprawach, w </w:t>
      </w:r>
      <w:r w:rsidRPr="00835DA5">
        <w:rPr>
          <w:rFonts w:ascii="Times New Roman" w:eastAsia="Times New Roman" w:hAnsi="Times New Roman" w:cs="Times New Roman"/>
          <w:sz w:val="24"/>
          <w:szCs w:val="24"/>
          <w:lang w:eastAsia="pl-PL"/>
        </w:rPr>
        <w:lastRenderedPageBreak/>
        <w:t>których przepisy ustaw szczególnych przewidują sądową kontrolę, ze szczególnym uwzględnieniem spraw zainicjowanych skargą prokuratora;</w:t>
      </w:r>
    </w:p>
    <w:p w14:paraId="56305BFC" w14:textId="77777777" w:rsidR="000B55C6" w:rsidRPr="00835DA5" w:rsidRDefault="000B55C6" w:rsidP="000B55C6">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 uczestnictwo w rozprawach i posiedzeniach sądu, w szczególności w sprawach prowadzonych z udziałem prokuratora;</w:t>
      </w:r>
    </w:p>
    <w:p w14:paraId="1845BBE6" w14:textId="77777777" w:rsidR="000B55C6" w:rsidRPr="004A20F9" w:rsidRDefault="000B55C6" w:rsidP="000B55C6">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  sporządzanie projektów orzeczeń sądu zapadających w związku z rozpoznaniem skar</w:t>
      </w:r>
      <w:r>
        <w:rPr>
          <w:rFonts w:ascii="Times New Roman" w:eastAsia="Times New Roman" w:hAnsi="Times New Roman" w:cs="Times New Roman"/>
          <w:sz w:val="24"/>
          <w:szCs w:val="24"/>
          <w:lang w:eastAsia="pl-PL"/>
        </w:rPr>
        <w:t>g</w:t>
      </w:r>
      <w:r w:rsidRPr="004A20F9">
        <w:rPr>
          <w:rFonts w:ascii="Times New Roman" w:eastAsia="Times New Roman" w:hAnsi="Times New Roman" w:cs="Times New Roman"/>
          <w:sz w:val="24"/>
          <w:szCs w:val="24"/>
          <w:lang w:eastAsia="pl-PL"/>
        </w:rPr>
        <w:t>.</w:t>
      </w:r>
    </w:p>
    <w:p w14:paraId="464628DE" w14:textId="77777777" w:rsidR="000B55C6" w:rsidRDefault="000B55C6" w:rsidP="000B55C6">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w:t>
      </w:r>
      <w:r w:rsidRPr="004B2BA7">
        <w:rPr>
          <w:rFonts w:ascii="Times New Roman" w:eastAsia="Times New Roman" w:hAnsi="Times New Roman" w:cs="Times New Roman"/>
          <w:sz w:val="24"/>
          <w:szCs w:val="24"/>
          <w:lang w:eastAsia="pl-PL"/>
        </w:rPr>
        <w:t xml:space="preserve">Nadto aplikanci w miarę możliwości powinni uczestniczyć (również w charakterze protokolantów) w czynnościach </w:t>
      </w:r>
      <w:r>
        <w:rPr>
          <w:rFonts w:ascii="Times New Roman" w:eastAsia="Times New Roman" w:hAnsi="Times New Roman" w:cs="Times New Roman"/>
          <w:sz w:val="24"/>
          <w:szCs w:val="24"/>
          <w:lang w:eastAsia="pl-PL"/>
        </w:rPr>
        <w:t>podejmowanych przez wojewódzki sąd administracyjny</w:t>
      </w:r>
      <w:r w:rsidRPr="004B2BA7">
        <w:rPr>
          <w:rFonts w:ascii="Times New Roman" w:eastAsia="Times New Roman" w:hAnsi="Times New Roman" w:cs="Times New Roman"/>
          <w:sz w:val="24"/>
          <w:szCs w:val="24"/>
          <w:lang w:eastAsia="pl-PL"/>
        </w:rPr>
        <w:t>.</w:t>
      </w:r>
    </w:p>
    <w:p w14:paraId="0C9A9CFA" w14:textId="77777777" w:rsidR="000B55C6" w:rsidRDefault="000B55C6" w:rsidP="000B55C6">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Powyższe nie wyklucza powierzania aplikantom również innych zadań wynikających z normalnego toku pracy sądu i prokuratorskiej – zwłaszcza takich, z którymi dotychczas jeszcze się nie zetknęli. Zadania te jednak mogą mieć wyłącznie charakter uzupełniający </w:t>
      </w:r>
      <w:r>
        <w:rPr>
          <w:rFonts w:ascii="Times New Roman" w:eastAsia="Times New Roman" w:hAnsi="Times New Roman" w:cs="Times New Roman"/>
          <w:sz w:val="24"/>
          <w:szCs w:val="24"/>
          <w:lang w:eastAsia="pl-PL"/>
        </w:rPr>
        <w:br/>
        <w:t xml:space="preserve">w stosunku do przedmiotu praktyki określonego w programie aplikacji. Patroni zadbać powinni, by nie przeważały one w trakcie praktyki oraz aby aplikanci mogli pracować także na materiałach (sprawach), którymi patron formalnie się nie zajmuje, zwłaszcza gdyby miało to umożliwić im poznanie szerokiego zakresu zagadnień związanych nie tylko bezpośrednio </w:t>
      </w:r>
      <w:r>
        <w:rPr>
          <w:rFonts w:ascii="Times New Roman" w:eastAsia="Times New Roman" w:hAnsi="Times New Roman" w:cs="Times New Roman"/>
          <w:sz w:val="24"/>
          <w:szCs w:val="24"/>
          <w:lang w:eastAsia="pl-PL"/>
        </w:rPr>
        <w:br/>
        <w:t>z tematyką poprzedzającego zjazdu, ale też wpływających na podniesienie ich ogólnych umiejętności. Służyć ma temu również zapoznanie aplikantów z zasadami biurowości, w tym prowadzenia urządzeń ewidencyjnych.</w:t>
      </w:r>
    </w:p>
    <w:p w14:paraId="2284CB82" w14:textId="1766F2A7" w:rsidR="000B55C6" w:rsidRDefault="000B55C6" w:rsidP="000B55C6">
      <w:pPr>
        <w:spacing w:after="0" w:line="360" w:lineRule="auto"/>
        <w:ind w:firstLine="708"/>
        <w:jc w:val="both"/>
        <w:rPr>
          <w:rFonts w:ascii="Times New Roman" w:eastAsia="Times New Roman" w:hAnsi="Times New Roman" w:cs="Times New Roman"/>
          <w:sz w:val="24"/>
          <w:szCs w:val="24"/>
          <w:lang w:eastAsia="pl-PL"/>
        </w:rPr>
      </w:pPr>
      <w:r>
        <w:rPr>
          <w:rFonts w:ascii="Times New Roman" w:hAnsi="Times New Roman" w:cs="Times New Roman"/>
          <w:b/>
          <w:sz w:val="24"/>
          <w:szCs w:val="24"/>
        </w:rPr>
        <w:t xml:space="preserve">Końcowo uprzejmie informuję, że przedmiotem sprawdzianu wiedzy, który aplikanci będą pisać po odbyciu praktyk po 29 zjeździe, tj. w dniu 19 listopada 2022 r. będzie sporządzenie projektu skargi na decyzję/postanowienie do wojewódzkiego sądu administracyjnego. </w:t>
      </w:r>
      <w:r>
        <w:rPr>
          <w:rFonts w:ascii="Times New Roman" w:hAnsi="Times New Roman" w:cs="Times New Roman"/>
          <w:sz w:val="24"/>
          <w:szCs w:val="24"/>
        </w:rPr>
        <w:t>Dlatego ważnym jest, aby aplikanci podczas praktyk opanowali tę umiejętność w jak najwyższym stopniu.</w:t>
      </w:r>
    </w:p>
    <w:p w14:paraId="742B7F16" w14:textId="77777777" w:rsidR="005303B9" w:rsidRDefault="005303B9" w:rsidP="005303B9">
      <w:pPr>
        <w:suppressAutoHyphens/>
        <w:spacing w:before="120" w:after="120"/>
        <w:ind w:firstLine="708"/>
        <w:jc w:val="both"/>
        <w:rPr>
          <w:rFonts w:ascii="Times New Roman" w:eastAsia="Times New Roman" w:hAnsi="Times New Roman" w:cs="Times New Roman"/>
          <w:sz w:val="24"/>
          <w:szCs w:val="24"/>
          <w:lang w:eastAsia="zh-CN"/>
        </w:rPr>
      </w:pPr>
    </w:p>
    <w:p w14:paraId="43B756FE" w14:textId="77777777" w:rsidR="005303B9" w:rsidRDefault="005303B9" w:rsidP="005303B9">
      <w:pPr>
        <w:suppressAutoHyphens/>
        <w:spacing w:before="120" w:after="120"/>
        <w:ind w:left="4395" w:firstLine="708"/>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Kierownik</w:t>
      </w:r>
    </w:p>
    <w:p w14:paraId="6B912C9B" w14:textId="77777777" w:rsidR="005303B9" w:rsidRDefault="005303B9" w:rsidP="005303B9">
      <w:pPr>
        <w:suppressAutoHyphens/>
        <w:spacing w:before="120" w:after="120"/>
        <w:ind w:left="4395" w:firstLine="708"/>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Działu Dydaktycznego OAP</w:t>
      </w:r>
    </w:p>
    <w:p w14:paraId="3B692A73" w14:textId="77777777" w:rsidR="005303B9" w:rsidRDefault="005303B9" w:rsidP="005303B9">
      <w:pPr>
        <w:suppressAutoHyphens/>
        <w:spacing w:before="120" w:after="120"/>
        <w:ind w:left="4395"/>
        <w:jc w:val="center"/>
        <w:rPr>
          <w:rFonts w:ascii="Times New Roman" w:eastAsia="Times New Roman" w:hAnsi="Times New Roman" w:cs="Times New Roman"/>
          <w:b/>
          <w:sz w:val="24"/>
          <w:szCs w:val="24"/>
          <w:lang w:eastAsia="zh-CN"/>
        </w:rPr>
      </w:pPr>
    </w:p>
    <w:p w14:paraId="4C8E463C" w14:textId="77777777" w:rsidR="005303B9" w:rsidRDefault="005303B9" w:rsidP="005303B9">
      <w:pPr>
        <w:suppressAutoHyphens/>
        <w:spacing w:before="120" w:after="120"/>
        <w:ind w:left="4395" w:firstLine="708"/>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Marta Zin</w:t>
      </w:r>
    </w:p>
    <w:p w14:paraId="5F21793C" w14:textId="5601B498" w:rsidR="00B847AD" w:rsidRPr="00EA24CC" w:rsidRDefault="005303B9" w:rsidP="00EA24CC">
      <w:pPr>
        <w:suppressAutoHyphens/>
        <w:spacing w:before="120" w:after="120"/>
        <w:ind w:left="4395" w:firstLine="708"/>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prokurator</w:t>
      </w:r>
    </w:p>
    <w:sectPr w:rsidR="00B847AD" w:rsidRPr="00EA2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9F0"/>
    <w:multiLevelType w:val="hybridMultilevel"/>
    <w:tmpl w:val="1A6AA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714F07"/>
    <w:multiLevelType w:val="hybridMultilevel"/>
    <w:tmpl w:val="D4BA72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2E95140"/>
    <w:multiLevelType w:val="hybridMultilevel"/>
    <w:tmpl w:val="B6569054"/>
    <w:lvl w:ilvl="0" w:tplc="220463BC">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19063F"/>
    <w:multiLevelType w:val="hybridMultilevel"/>
    <w:tmpl w:val="159A25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E6409F9"/>
    <w:multiLevelType w:val="hybridMultilevel"/>
    <w:tmpl w:val="E0582720"/>
    <w:lvl w:ilvl="0" w:tplc="92CE6A3C">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 w15:restartNumberingAfterBreak="0">
    <w:nsid w:val="578B3E3B"/>
    <w:multiLevelType w:val="hybridMultilevel"/>
    <w:tmpl w:val="17F69A3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96C5468"/>
    <w:multiLevelType w:val="hybridMultilevel"/>
    <w:tmpl w:val="D1FEBECE"/>
    <w:lvl w:ilvl="0" w:tplc="92AC4A04">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BC7468"/>
    <w:multiLevelType w:val="hybridMultilevel"/>
    <w:tmpl w:val="E946C2A8"/>
    <w:lvl w:ilvl="0" w:tplc="93A23E6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62FB7181"/>
    <w:multiLevelType w:val="hybridMultilevel"/>
    <w:tmpl w:val="7F3CA5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2B71461"/>
    <w:multiLevelType w:val="hybridMultilevel"/>
    <w:tmpl w:val="DD746E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8C318D8"/>
    <w:multiLevelType w:val="hybridMultilevel"/>
    <w:tmpl w:val="7B6A2C28"/>
    <w:lvl w:ilvl="0" w:tplc="035063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7A862896"/>
    <w:multiLevelType w:val="hybridMultilevel"/>
    <w:tmpl w:val="277E5794"/>
    <w:lvl w:ilvl="0" w:tplc="007853BE">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9"/>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35"/>
    <w:rsid w:val="000B55C6"/>
    <w:rsid w:val="00263241"/>
    <w:rsid w:val="00346335"/>
    <w:rsid w:val="005303B9"/>
    <w:rsid w:val="00570E97"/>
    <w:rsid w:val="005A009D"/>
    <w:rsid w:val="006023BA"/>
    <w:rsid w:val="006A155D"/>
    <w:rsid w:val="00B847AD"/>
    <w:rsid w:val="00BF57A5"/>
    <w:rsid w:val="00DC66F8"/>
    <w:rsid w:val="00DF2C16"/>
    <w:rsid w:val="00E7101B"/>
    <w:rsid w:val="00EA24CC"/>
    <w:rsid w:val="00FC4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377B"/>
  <w15:docId w15:val="{6544A58A-9A4D-40E6-A345-4D59F334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F57A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0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309475">
      <w:bodyDiv w:val="1"/>
      <w:marLeft w:val="0"/>
      <w:marRight w:val="0"/>
      <w:marTop w:val="0"/>
      <w:marBottom w:val="0"/>
      <w:divBdr>
        <w:top w:val="none" w:sz="0" w:space="0" w:color="auto"/>
        <w:left w:val="none" w:sz="0" w:space="0" w:color="auto"/>
        <w:bottom w:val="none" w:sz="0" w:space="0" w:color="auto"/>
        <w:right w:val="none" w:sz="0" w:space="0" w:color="auto"/>
      </w:divBdr>
    </w:div>
    <w:div w:id="1883860550">
      <w:bodyDiv w:val="1"/>
      <w:marLeft w:val="0"/>
      <w:marRight w:val="0"/>
      <w:marTop w:val="0"/>
      <w:marBottom w:val="0"/>
      <w:divBdr>
        <w:top w:val="none" w:sz="0" w:space="0" w:color="auto"/>
        <w:left w:val="none" w:sz="0" w:space="0" w:color="auto"/>
        <w:bottom w:val="none" w:sz="0" w:space="0" w:color="auto"/>
        <w:right w:val="none" w:sz="0" w:space="0" w:color="auto"/>
      </w:divBdr>
    </w:div>
    <w:div w:id="20234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4885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Podsiadło</dc:creator>
  <cp:keywords/>
  <dc:description/>
  <cp:lastModifiedBy>Małgorzata Daliniewska</cp:lastModifiedBy>
  <cp:revision>2</cp:revision>
  <dcterms:created xsi:type="dcterms:W3CDTF">2022-09-13T06:41:00Z</dcterms:created>
  <dcterms:modified xsi:type="dcterms:W3CDTF">2022-09-13T06:41:00Z</dcterms:modified>
</cp:coreProperties>
</file>