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C9" w:rsidRPr="001C4CEA" w:rsidRDefault="00CD6EC9" w:rsidP="00CD6EC9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  <w:r w:rsidRPr="001C4CEA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E74617" wp14:editId="4C7896C1">
            <wp:simplePos x="0" y="0"/>
            <wp:positionH relativeFrom="column">
              <wp:posOffset>593090</wp:posOffset>
            </wp:positionH>
            <wp:positionV relativeFrom="paragraph">
              <wp:posOffset>-191770</wp:posOffset>
            </wp:positionV>
            <wp:extent cx="501015" cy="4768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EC9" w:rsidRPr="001C4CEA" w:rsidRDefault="00CD6EC9" w:rsidP="00CD6EC9">
      <w:pPr>
        <w:tabs>
          <w:tab w:val="center" w:pos="4536"/>
          <w:tab w:val="right" w:pos="9072"/>
        </w:tabs>
        <w:spacing w:after="0"/>
        <w:ind w:left="-851" w:right="5526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CD6EC9" w:rsidRPr="001C4CEA" w:rsidRDefault="00CD6EC9" w:rsidP="00CD6EC9">
      <w:pPr>
        <w:tabs>
          <w:tab w:val="center" w:pos="4536"/>
          <w:tab w:val="right" w:pos="9072"/>
        </w:tabs>
        <w:spacing w:after="0" w:line="240" w:lineRule="auto"/>
        <w:ind w:left="-851" w:right="55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4CEA">
        <w:rPr>
          <w:rFonts w:ascii="Garamond" w:eastAsia="Times New Roman" w:hAnsi="Garamond" w:cs="Times New Roman"/>
          <w:b/>
          <w:lang w:eastAsia="pl-PL"/>
        </w:rPr>
        <w:t>KRAJOWA SZKOŁA</w:t>
      </w:r>
    </w:p>
    <w:p w:rsidR="00CD6EC9" w:rsidRPr="001C4CEA" w:rsidRDefault="00CD6EC9" w:rsidP="00CD6EC9">
      <w:pPr>
        <w:tabs>
          <w:tab w:val="center" w:pos="4536"/>
          <w:tab w:val="right" w:pos="9072"/>
        </w:tabs>
        <w:spacing w:after="0" w:line="240" w:lineRule="auto"/>
        <w:ind w:left="-851" w:right="5526"/>
        <w:jc w:val="center"/>
        <w:rPr>
          <w:rFonts w:ascii="Garamond" w:eastAsia="Times New Roman" w:hAnsi="Garamond" w:cs="Times New Roman"/>
          <w:lang w:eastAsia="pl-PL"/>
        </w:rPr>
      </w:pPr>
      <w:r w:rsidRPr="001C4CEA">
        <w:rPr>
          <w:rFonts w:ascii="Garamond" w:eastAsia="Times New Roman" w:hAnsi="Garamond" w:cs="Times New Roman"/>
          <w:b/>
          <w:lang w:eastAsia="pl-PL"/>
        </w:rPr>
        <w:t>SĄDOWNICTWA I PROKURATURY</w:t>
      </w:r>
      <w:r w:rsidRPr="001C4CEA">
        <w:rPr>
          <w:rFonts w:ascii="Garamond" w:eastAsia="Times New Roman" w:hAnsi="Garamond" w:cs="Times New Roman"/>
          <w:lang w:eastAsia="pl-PL"/>
        </w:rPr>
        <w:t xml:space="preserve"> </w:t>
      </w:r>
    </w:p>
    <w:p w:rsidR="00CD6EC9" w:rsidRPr="001C4CEA" w:rsidRDefault="00CD6EC9" w:rsidP="00CD6EC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C4CEA">
        <w:rPr>
          <w:rFonts w:ascii="Times New Roman" w:eastAsia="Times New Roman" w:hAnsi="Times New Roman" w:cs="Times New Roman"/>
          <w:lang w:eastAsia="pl-PL"/>
        </w:rPr>
        <w:t xml:space="preserve"> OAP-II.420.69.2021</w:t>
      </w:r>
      <w:r w:rsidRPr="001C4CEA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</w:t>
      </w:r>
      <w:r w:rsidR="001C4CEA" w:rsidRPr="001C4CEA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="001C4CEA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1C4CEA">
        <w:rPr>
          <w:rFonts w:ascii="Times New Roman" w:eastAsia="Times New Roman" w:hAnsi="Times New Roman" w:cs="Times New Roman"/>
          <w:lang w:eastAsia="pl-PL"/>
        </w:rPr>
        <w:t xml:space="preserve">Kraków, dnia  </w:t>
      </w:r>
      <w:r w:rsidR="00C35183">
        <w:rPr>
          <w:rFonts w:ascii="Times New Roman" w:eastAsia="Times New Roman" w:hAnsi="Times New Roman" w:cs="Times New Roman"/>
          <w:lang w:eastAsia="pl-PL"/>
        </w:rPr>
        <w:t>10</w:t>
      </w:r>
      <w:r w:rsidRPr="001C4CEA">
        <w:rPr>
          <w:rFonts w:ascii="Times New Roman" w:eastAsia="Times New Roman" w:hAnsi="Times New Roman" w:cs="Times New Roman"/>
          <w:lang w:eastAsia="pl-PL"/>
        </w:rPr>
        <w:t xml:space="preserve">  lutego 2022 r.</w:t>
      </w:r>
    </w:p>
    <w:p w:rsidR="00CD6EC9" w:rsidRPr="001C4CEA" w:rsidRDefault="00CD6EC9" w:rsidP="00CD6EC9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D6EC9" w:rsidRPr="001C4CEA" w:rsidRDefault="00CD6EC9" w:rsidP="00CD6EC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1C4CE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Patroni Koordynatorzy                                                                                              </w:t>
      </w:r>
    </w:p>
    <w:p w:rsidR="00CD6EC9" w:rsidRPr="001C4CEA" w:rsidRDefault="00CD6EC9" w:rsidP="00CD6EC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1C4CE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oraz Patroni Praktyk    </w:t>
      </w:r>
    </w:p>
    <w:p w:rsidR="00CD6EC9" w:rsidRPr="001C4CEA" w:rsidRDefault="00CD6EC9" w:rsidP="00CD6EC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1C4CE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</w:t>
      </w:r>
    </w:p>
    <w:p w:rsidR="00CD6EC9" w:rsidRPr="001C4CEA" w:rsidRDefault="00CD6EC9" w:rsidP="00CD6EC9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1C4CEA">
        <w:rPr>
          <w:rFonts w:ascii="Times New Roman" w:eastAsia="Times New Roman" w:hAnsi="Times New Roman" w:cs="Times New Roman"/>
          <w:i/>
          <w:lang w:eastAsia="pl-PL"/>
        </w:rPr>
        <w:t>Dotyczy praktyk aplikantów II rocznika aplikacji uzupełniającej prokuratorskiej po                  15  zjeździe</w:t>
      </w:r>
    </w:p>
    <w:p w:rsidR="00CD6EC9" w:rsidRPr="001C4CEA" w:rsidRDefault="00CD6EC9" w:rsidP="00CD6EC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CD6EC9" w:rsidRPr="001C4CEA" w:rsidRDefault="00CD6EC9" w:rsidP="00CD6E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1C4CEA">
        <w:rPr>
          <w:rFonts w:ascii="Times New Roman" w:eastAsia="Times New Roman" w:hAnsi="Times New Roman" w:cs="Times New Roman"/>
          <w:lang w:eastAsia="pl-PL"/>
        </w:rPr>
        <w:t xml:space="preserve">W oparciu o § 2, 9 i 10 zarządzenia Dyrektora Krajowej </w:t>
      </w:r>
      <w:r w:rsidR="00C35183">
        <w:rPr>
          <w:rFonts w:ascii="Times New Roman" w:eastAsia="Times New Roman" w:hAnsi="Times New Roman" w:cs="Times New Roman"/>
          <w:lang w:eastAsia="pl-PL"/>
        </w:rPr>
        <w:t>Szkoły Sądownictwa</w:t>
      </w:r>
      <w:r w:rsidRPr="001C4CEA">
        <w:rPr>
          <w:rFonts w:ascii="Times New Roman" w:eastAsia="Times New Roman" w:hAnsi="Times New Roman" w:cs="Times New Roman"/>
          <w:lang w:eastAsia="pl-PL"/>
        </w:rPr>
        <w:t xml:space="preserve">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odbywanych: 1 dzień w okresie od 21 do 25 marca 2022 roku, 1 dzień w okresie od 28 marca do 1 kwietnia 2022 roku  w sądach rejonowych- wydziałach karnych. </w:t>
      </w:r>
    </w:p>
    <w:p w:rsidR="00CD6EC9" w:rsidRPr="001C4CEA" w:rsidRDefault="00CD6EC9" w:rsidP="00CD6E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4CE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B1662" w:rsidRPr="001C4CEA" w:rsidRDefault="00BB1662" w:rsidP="001C4C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  <w:r w:rsidRPr="001C4CEA">
        <w:rPr>
          <w:rFonts w:ascii="Times New Roman" w:hAnsi="Times New Roman" w:cs="Times New Roman"/>
          <w:b/>
          <w:bCs/>
          <w:iCs/>
        </w:rPr>
        <w:t>Celem praktyki jest utrwalenie umiejętności związanych z udziałem w rozprawach przed sądem I instancji.</w:t>
      </w: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 xml:space="preserve">Przedmiotem XV zjazdu aplikacji uzupełniającej prokuratorskiej odbywającego się  w dniach </w:t>
      </w:r>
      <w:r w:rsidR="00CD6EC9" w:rsidRPr="001C4CEA">
        <w:rPr>
          <w:rFonts w:ascii="Times New Roman" w:hAnsi="Times New Roman" w:cs="Times New Roman"/>
        </w:rPr>
        <w:t>19-20</w:t>
      </w:r>
      <w:r w:rsidRPr="001C4CEA">
        <w:rPr>
          <w:rFonts w:ascii="Times New Roman" w:hAnsi="Times New Roman" w:cs="Times New Roman"/>
        </w:rPr>
        <w:t xml:space="preserve"> marca 202</w:t>
      </w:r>
      <w:r w:rsidR="00CD6EC9" w:rsidRPr="001C4CEA">
        <w:rPr>
          <w:rFonts w:ascii="Times New Roman" w:hAnsi="Times New Roman" w:cs="Times New Roman"/>
        </w:rPr>
        <w:t>2</w:t>
      </w:r>
      <w:r w:rsidRPr="001C4CEA">
        <w:rPr>
          <w:rFonts w:ascii="Times New Roman" w:hAnsi="Times New Roman" w:cs="Times New Roman"/>
        </w:rPr>
        <w:t xml:space="preserve"> r. jest:</w:t>
      </w:r>
    </w:p>
    <w:p w:rsidR="003B2749" w:rsidRPr="001C4CEA" w:rsidRDefault="003B2749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2749" w:rsidRPr="001C4CEA" w:rsidRDefault="00BB1662" w:rsidP="003B27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CEA">
        <w:rPr>
          <w:rFonts w:ascii="Times New Roman" w:hAnsi="Times New Roman" w:cs="Times New Roman"/>
          <w:b/>
        </w:rPr>
        <w:t>Prawo karne materialne</w:t>
      </w:r>
      <w:r w:rsidR="00CD6EC9" w:rsidRPr="001C4CEA">
        <w:rPr>
          <w:rFonts w:ascii="Times New Roman" w:hAnsi="Times New Roman" w:cs="Times New Roman"/>
          <w:b/>
        </w:rPr>
        <w:t>:</w:t>
      </w:r>
    </w:p>
    <w:p w:rsidR="003B2749" w:rsidRPr="001C4CEA" w:rsidRDefault="003B2749" w:rsidP="003B274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3B2749" w:rsidRPr="001C4CEA" w:rsidRDefault="00BB1662" w:rsidP="003B27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CEA">
        <w:rPr>
          <w:rFonts w:ascii="Times New Roman" w:hAnsi="Times New Roman" w:cs="Times New Roman"/>
        </w:rPr>
        <w:t>Przestępstwa przeciwko ochronie informacji</w:t>
      </w:r>
    </w:p>
    <w:p w:rsidR="00BB1662" w:rsidRPr="001C4CEA" w:rsidRDefault="00BB1662" w:rsidP="003B27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CEA">
        <w:rPr>
          <w:rFonts w:ascii="Times New Roman" w:hAnsi="Times New Roman" w:cs="Times New Roman"/>
        </w:rPr>
        <w:t>Przestępstwa przeciwko wiarygodności dokumentów</w:t>
      </w: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B2749" w:rsidRPr="001C4CEA" w:rsidRDefault="00BB1662" w:rsidP="003B27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4CEA">
        <w:rPr>
          <w:rFonts w:ascii="Times New Roman" w:hAnsi="Times New Roman" w:cs="Times New Roman"/>
          <w:b/>
        </w:rPr>
        <w:t>Prawo karne procesowe</w:t>
      </w:r>
      <w:r w:rsidR="003B2749" w:rsidRPr="001C4CEA">
        <w:rPr>
          <w:rFonts w:ascii="Times New Roman" w:hAnsi="Times New Roman" w:cs="Times New Roman"/>
          <w:b/>
        </w:rPr>
        <w:t>:</w:t>
      </w:r>
    </w:p>
    <w:p w:rsidR="003B2749" w:rsidRPr="001C4CEA" w:rsidRDefault="003B2749" w:rsidP="003B274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B1662" w:rsidRPr="001C4CEA" w:rsidRDefault="00BB1662" w:rsidP="003B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  <w:u w:val="single"/>
        </w:rPr>
        <w:t>Szczególne formy postępowania jurysdykcyjnego</w:t>
      </w:r>
      <w:r w:rsidRPr="001C4CEA">
        <w:rPr>
          <w:rFonts w:ascii="Times New Roman" w:hAnsi="Times New Roman" w:cs="Times New Roman"/>
        </w:rPr>
        <w:t xml:space="preserve">. </w:t>
      </w:r>
    </w:p>
    <w:p w:rsidR="00BB1662" w:rsidRPr="001C4CEA" w:rsidRDefault="00BB1662" w:rsidP="00CD6E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>Celem zajęć jest omówienie odrębności postępowania w sprawach karnych z oskarżenia prywatnego, nakazowego i przyspieszonego, a także kwestii związanych ze wstąpieniem prokuratora do sprawy wszczętej na podstawie aktu oskarżenia wniesionego przez oskarżyciela posiłkowego.</w:t>
      </w:r>
    </w:p>
    <w:p w:rsidR="003B2749" w:rsidRPr="001C4CEA" w:rsidRDefault="003B2749" w:rsidP="00CD6E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1662" w:rsidRPr="001C4CEA" w:rsidRDefault="00BB1662" w:rsidP="003B274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C4CEA">
        <w:rPr>
          <w:rFonts w:ascii="Times New Roman" w:hAnsi="Times New Roman" w:cs="Times New Roman"/>
          <w:u w:val="single"/>
        </w:rPr>
        <w:t>Udział prokuratora w postępowaniu sądowym (cd.)</w:t>
      </w:r>
    </w:p>
    <w:p w:rsidR="003B2749" w:rsidRPr="001C4CEA" w:rsidRDefault="003B2749" w:rsidP="003B274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B1662" w:rsidRPr="001C4CEA" w:rsidRDefault="00BB1662" w:rsidP="003B274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C4CEA">
        <w:rPr>
          <w:rFonts w:ascii="Times New Roman" w:hAnsi="Times New Roman" w:cs="Times New Roman"/>
          <w:u w:val="single"/>
        </w:rPr>
        <w:t>Postępowanie przed sądem I instancji</w:t>
      </w:r>
      <w:r w:rsidR="003B2749" w:rsidRPr="001C4CEA">
        <w:rPr>
          <w:rFonts w:ascii="Times New Roman" w:hAnsi="Times New Roman" w:cs="Times New Roman"/>
          <w:u w:val="single"/>
        </w:rPr>
        <w:t>:</w:t>
      </w:r>
    </w:p>
    <w:p w:rsidR="00BB1662" w:rsidRPr="001C4CEA" w:rsidRDefault="00BB1662" w:rsidP="003B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>Sposób prezentacji stanowiska, wystąpienia prokuratora (incydentalne i końcowe). Wystąpienia aplikantów powinny być nagrywane, a następnie odtworzone i omówione przez wykładowcę.</w:t>
      </w:r>
    </w:p>
    <w:p w:rsidR="00BB1662" w:rsidRPr="001C4CEA" w:rsidRDefault="00BB1662" w:rsidP="003B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>Wnioski co do wymiaru kary i innych rozstrzygnięć oraz ich uzasadnienie i ocena wyroku w tym zakresie.</w:t>
      </w: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B1662" w:rsidRPr="001C4CEA" w:rsidRDefault="00BB1662" w:rsidP="003B274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C4CEA">
        <w:rPr>
          <w:rFonts w:ascii="Times New Roman" w:hAnsi="Times New Roman" w:cs="Times New Roman"/>
          <w:u w:val="single"/>
        </w:rPr>
        <w:t>Wyrokowanie – konstrukcja wyroku i jego rodzaje</w:t>
      </w:r>
      <w:r w:rsidR="003B2749" w:rsidRPr="001C4CEA">
        <w:rPr>
          <w:rFonts w:ascii="Times New Roman" w:hAnsi="Times New Roman" w:cs="Times New Roman"/>
          <w:u w:val="single"/>
        </w:rPr>
        <w:t>.</w:t>
      </w:r>
    </w:p>
    <w:p w:rsidR="003B2749" w:rsidRPr="001C4CEA" w:rsidRDefault="003B2749" w:rsidP="003B274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B1662" w:rsidRPr="001C4CEA" w:rsidRDefault="00BB1662" w:rsidP="003B274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C4CEA">
        <w:rPr>
          <w:rFonts w:ascii="Times New Roman" w:hAnsi="Times New Roman" w:cs="Times New Roman"/>
          <w:u w:val="single"/>
        </w:rPr>
        <w:lastRenderedPageBreak/>
        <w:t>Symulacja rozprawy z udziałem obrońcy oskarżonego – zajęcia prowadzone są wspólnie przez sędziego i prokuratora.</w:t>
      </w: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>Patroni praktyk oraz patroni koordynatorzy w toku szkolenia winni zadbać o to, aby aplikanci w czasie praktyk w sądach rejonowych – wydziałach karnych mieli możliwość zapoznania się:</w:t>
      </w: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>1.</w:t>
      </w:r>
      <w:r w:rsidRPr="001C4CEA">
        <w:rPr>
          <w:rFonts w:ascii="Times New Roman" w:hAnsi="Times New Roman" w:cs="Times New Roman"/>
        </w:rPr>
        <w:tab/>
        <w:t>z czynnościami przewodniczącego wydziału związanymi z wyznaczaniem rozprawy głównej (wydawane przez przewodniczącego zarządzenia, ewentualnie przebieg posiedzenia wstępnego);</w:t>
      </w: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>2.</w:t>
      </w:r>
      <w:r w:rsidRPr="001C4CEA">
        <w:rPr>
          <w:rFonts w:ascii="Times New Roman" w:hAnsi="Times New Roman" w:cs="Times New Roman"/>
        </w:rPr>
        <w:tab/>
        <w:t>z przebiegiem rozprawy głównej, a w szczególności z:</w:t>
      </w:r>
    </w:p>
    <w:p w:rsidR="00BB1662" w:rsidRPr="001C4CEA" w:rsidRDefault="00BB1662" w:rsidP="00BB1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 xml:space="preserve">- czynnościami przewodniczącego składu orzekającego dotyczącymi organizacji i przebiegu rozprawy oraz czynnościami podejmowanymi przez strony procesu i ich przedstawicieli procesowych; </w:t>
      </w:r>
    </w:p>
    <w:p w:rsidR="00BB1662" w:rsidRPr="001C4CEA" w:rsidRDefault="00BB1662" w:rsidP="00BB1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 xml:space="preserve">- decyzjami sądu zapadającymi przed rozpoczęciem przewodu sądowego oraz w jego trakcie; </w:t>
      </w:r>
    </w:p>
    <w:p w:rsidR="00BB1662" w:rsidRPr="001C4CEA" w:rsidRDefault="00BB1662" w:rsidP="00BB1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 xml:space="preserve">- przebiegiem postępowania dowodowego prowadzonego na rozprawie z uwzględnieniem aktywności stron procesu i ich przedstawicieli procesowych ze szczególnym uwzględnieniem udziału prokuratora w rozprawie; </w:t>
      </w:r>
    </w:p>
    <w:p w:rsidR="00BB1662" w:rsidRPr="001C4CEA" w:rsidRDefault="00BB1662" w:rsidP="00BB1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>- wystąpieniami incydentalnymi prokuratora i mowami końcowymi,</w:t>
      </w:r>
    </w:p>
    <w:p w:rsidR="00BB1662" w:rsidRPr="001C4CEA" w:rsidRDefault="00BB1662" w:rsidP="00BB16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>- wyrokowaniem;</w:t>
      </w: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>3.</w:t>
      </w:r>
      <w:r w:rsidRPr="001C4CEA">
        <w:rPr>
          <w:rFonts w:ascii="Times New Roman" w:hAnsi="Times New Roman" w:cs="Times New Roman"/>
        </w:rPr>
        <w:tab/>
        <w:t>z przebiegiem posiedzeń sądowych w sprawach incydentalnych z udziałem prokuratora, sposobem prezentowania stanowiska przez prokuratora i sposobem konstruowania przez niego wystąpień.</w:t>
      </w: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>Wskazanym jest, aby aplikanci mieli możliwość przygotowywania projektów wyroków i ich uzasadnień w sprawach, w których materiał dowodowy jest kompletny (zupełny), a także mieli możliwość analizy spraw pozostających w referacie sędziego patrona pod kątem wydania w sprawie rozstrzygnięcia oraz dyskusji nad przestawionymi przez aplikanta argumentami związanymi z treścią dowodów oraz istniejącymi zagadnieniami natury prawnej, które występują na gruncie poszczególnym spraw.</w:t>
      </w: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CEA">
        <w:rPr>
          <w:rFonts w:ascii="Times New Roman" w:hAnsi="Times New Roman" w:cs="Times New Roman"/>
        </w:rPr>
        <w:t>Uprzejmie informuję, że zasadniczym celem praktyki po zjeździe XV jest utrwalenie umiejętności związanych z udziałem w rozprawach przez sądem I instancji, dlatego ważnym jest, aby aplikanci podczas prak</w:t>
      </w:r>
      <w:r w:rsidR="00C35183">
        <w:rPr>
          <w:rFonts w:ascii="Times New Roman" w:hAnsi="Times New Roman" w:cs="Times New Roman"/>
        </w:rPr>
        <w:t>tyk opanowali te  umiejętności</w:t>
      </w:r>
      <w:r w:rsidRPr="001C4CEA">
        <w:rPr>
          <w:rFonts w:ascii="Times New Roman" w:hAnsi="Times New Roman" w:cs="Times New Roman"/>
        </w:rPr>
        <w:t xml:space="preserve"> w jak najwyższym stopniu.</w:t>
      </w:r>
    </w:p>
    <w:p w:rsidR="00BB1662" w:rsidRPr="001C4CEA" w:rsidRDefault="00BB1662" w:rsidP="00BB16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B1662" w:rsidRPr="001C4CEA" w:rsidRDefault="00BB1662" w:rsidP="00BB1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1662" w:rsidRPr="001C4CEA" w:rsidRDefault="00BB1662" w:rsidP="00BB16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1662" w:rsidRPr="001C4CEA" w:rsidRDefault="00BB1662" w:rsidP="00BB1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4CEA">
        <w:rPr>
          <w:rFonts w:ascii="Times New Roman" w:hAnsi="Times New Roman" w:cs="Times New Roman"/>
        </w:rPr>
        <w:t xml:space="preserve"> </w:t>
      </w:r>
      <w:r w:rsidRPr="001C4CEA">
        <w:rPr>
          <w:rFonts w:ascii="Times New Roman" w:hAnsi="Times New Roman" w:cs="Times New Roman"/>
        </w:rPr>
        <w:tab/>
      </w:r>
    </w:p>
    <w:p w:rsidR="00BB1662" w:rsidRPr="001C4CEA" w:rsidRDefault="00BB1662" w:rsidP="00BB1662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color w:val="FF0000"/>
          <w:lang w:eastAsia="pl-PL"/>
        </w:rPr>
      </w:pPr>
    </w:p>
    <w:p w:rsidR="00BB1662" w:rsidRPr="001C4CEA" w:rsidRDefault="00BB1662" w:rsidP="00BB1662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1C4CEA">
        <w:rPr>
          <w:rFonts w:ascii="Garamond" w:hAnsi="Garamond" w:cs="Times New Roman"/>
          <w:b/>
        </w:rPr>
        <w:t xml:space="preserve">                                         Kierownik</w:t>
      </w:r>
    </w:p>
    <w:p w:rsidR="00BB1662" w:rsidRPr="001C4CEA" w:rsidRDefault="00BB1662" w:rsidP="00BB1662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1C4CEA">
        <w:rPr>
          <w:rFonts w:ascii="Garamond" w:hAnsi="Garamond" w:cs="Times New Roman"/>
          <w:b/>
        </w:rPr>
        <w:t xml:space="preserve">                                             Działu Dydaktycznego</w:t>
      </w:r>
    </w:p>
    <w:p w:rsidR="00BB1662" w:rsidRPr="001C4CEA" w:rsidRDefault="00BB1662" w:rsidP="00BB1662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1C4CEA">
        <w:rPr>
          <w:rFonts w:ascii="Garamond" w:hAnsi="Garamond" w:cs="Times New Roman"/>
          <w:b/>
        </w:rPr>
        <w:t xml:space="preserve">                                            w Ośrodku Aplikacji Prokuratorskiej</w:t>
      </w:r>
    </w:p>
    <w:p w:rsidR="00BB1662" w:rsidRPr="001C4CEA" w:rsidRDefault="00BB1662" w:rsidP="00BB1662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1C4CEA">
        <w:rPr>
          <w:rFonts w:ascii="Garamond" w:hAnsi="Garamond" w:cs="Times New Roman"/>
          <w:b/>
        </w:rPr>
        <w:t xml:space="preserve">                                           Krajowej Szkoły Sądownictwa i Prokuratury</w:t>
      </w:r>
    </w:p>
    <w:p w:rsidR="00BB1662" w:rsidRPr="001C4CEA" w:rsidRDefault="00BB1662" w:rsidP="00BB1662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:rsidR="00BB1662" w:rsidRPr="001C4CEA" w:rsidRDefault="00BB1662" w:rsidP="00BB1662">
      <w:pPr>
        <w:spacing w:after="0" w:line="240" w:lineRule="auto"/>
        <w:jc w:val="center"/>
        <w:rPr>
          <w:rFonts w:ascii="Monotype Corsiva" w:hAnsi="Monotype Corsiva" w:cs="Times New Roman"/>
          <w:b/>
        </w:rPr>
      </w:pPr>
      <w:r w:rsidRPr="001C4CEA">
        <w:rPr>
          <w:rFonts w:ascii="Garamond" w:hAnsi="Garamond" w:cs="Times New Roman"/>
          <w:b/>
        </w:rPr>
        <w:t xml:space="preserve">                                          </w:t>
      </w:r>
      <w:r w:rsidRPr="001C4CEA">
        <w:rPr>
          <w:rFonts w:ascii="Monotype Corsiva" w:hAnsi="Monotype Corsiva" w:cs="Times New Roman"/>
          <w:b/>
        </w:rPr>
        <w:t>Marta Zin</w:t>
      </w:r>
    </w:p>
    <w:p w:rsidR="00BB1662" w:rsidRPr="001C4CEA" w:rsidRDefault="00BB1662" w:rsidP="00BB1662">
      <w:pPr>
        <w:spacing w:after="0" w:line="240" w:lineRule="auto"/>
        <w:ind w:firstLine="708"/>
        <w:jc w:val="both"/>
      </w:pPr>
      <w:r w:rsidRPr="001C4CEA">
        <w:rPr>
          <w:rFonts w:ascii="Garamond" w:hAnsi="Garamond" w:cs="Times New Roman"/>
        </w:rPr>
        <w:t xml:space="preserve">                                         </w:t>
      </w:r>
      <w:r w:rsidRPr="001C4CEA">
        <w:rPr>
          <w:rFonts w:ascii="Garamond" w:hAnsi="Garamond" w:cs="Times New Roman"/>
        </w:rPr>
        <w:tab/>
      </w:r>
      <w:r w:rsidRPr="001C4CEA">
        <w:rPr>
          <w:rFonts w:ascii="Garamond" w:hAnsi="Garamond" w:cs="Times New Roman"/>
        </w:rPr>
        <w:tab/>
        <w:t xml:space="preserve">                 Prokurator </w:t>
      </w:r>
    </w:p>
    <w:p w:rsidR="00B847AD" w:rsidRPr="001C4CEA" w:rsidRDefault="00B847AD"/>
    <w:sectPr w:rsidR="00B847AD" w:rsidRPr="001C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4F0"/>
    <w:multiLevelType w:val="hybridMultilevel"/>
    <w:tmpl w:val="A4863874"/>
    <w:lvl w:ilvl="0" w:tplc="A49A3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62"/>
    <w:rsid w:val="001C4CEA"/>
    <w:rsid w:val="003B2749"/>
    <w:rsid w:val="006C3CE8"/>
    <w:rsid w:val="00B847AD"/>
    <w:rsid w:val="00BB1662"/>
    <w:rsid w:val="00C35183"/>
    <w:rsid w:val="00C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66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662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Podsiadło</dc:creator>
  <cp:lastModifiedBy>Małgorzata Daliniewska</cp:lastModifiedBy>
  <cp:revision>2</cp:revision>
  <dcterms:created xsi:type="dcterms:W3CDTF">2022-02-11T12:23:00Z</dcterms:created>
  <dcterms:modified xsi:type="dcterms:W3CDTF">2022-02-11T12:23:00Z</dcterms:modified>
</cp:coreProperties>
</file>