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921" w:rsidRDefault="00313595" w:rsidP="00960921">
      <w:pPr>
        <w:spacing w:before="120" w:after="120" w:line="276" w:lineRule="auto"/>
      </w:pPr>
      <w:bookmarkStart w:id="0" w:name="_GoBack"/>
      <w:bookmarkEnd w:id="0"/>
      <w:r>
        <w:t>OAP-II.420.40.2021</w:t>
      </w:r>
      <w:r>
        <w:tab/>
      </w:r>
      <w:r>
        <w:tab/>
      </w:r>
      <w:r>
        <w:tab/>
      </w:r>
      <w:r>
        <w:tab/>
        <w:t xml:space="preserve">                     </w:t>
      </w:r>
      <w:r w:rsidR="00B26ACA">
        <w:t>Kraków, dnia 21 września 2021</w:t>
      </w:r>
      <w:r w:rsidR="00960921">
        <w:t xml:space="preserve"> roku</w:t>
      </w:r>
    </w:p>
    <w:p w:rsidR="00960921" w:rsidRDefault="00960921" w:rsidP="00960921">
      <w:pPr>
        <w:spacing w:before="120" w:after="120" w:line="276" w:lineRule="auto"/>
        <w:rPr>
          <w:i/>
        </w:rPr>
      </w:pPr>
    </w:p>
    <w:p w:rsidR="00960921" w:rsidRDefault="00960921" w:rsidP="00960921">
      <w:pPr>
        <w:spacing w:before="120" w:after="120" w:line="276" w:lineRule="auto"/>
        <w:rPr>
          <w:i/>
        </w:rPr>
      </w:pPr>
    </w:p>
    <w:p w:rsidR="00960921" w:rsidRDefault="00960921" w:rsidP="00960921">
      <w:pPr>
        <w:spacing w:before="120" w:after="120" w:line="276" w:lineRule="auto"/>
        <w:rPr>
          <w:i/>
        </w:rPr>
      </w:pPr>
    </w:p>
    <w:p w:rsidR="00960921" w:rsidRDefault="00FE69C2" w:rsidP="00FE69C2">
      <w:pPr>
        <w:spacing w:before="120" w:after="120" w:line="276" w:lineRule="auto"/>
        <w:rPr>
          <w:b/>
        </w:rPr>
      </w:pPr>
      <w:r>
        <w:rPr>
          <w:b/>
        </w:rPr>
        <w:t xml:space="preserve">                                                                </w:t>
      </w:r>
      <w:r w:rsidR="00960921">
        <w:rPr>
          <w:b/>
        </w:rPr>
        <w:t>Do Państwa</w:t>
      </w:r>
    </w:p>
    <w:p w:rsidR="00960921" w:rsidRDefault="00960921" w:rsidP="0096092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opiekunów praktyk</w:t>
      </w:r>
    </w:p>
    <w:p w:rsidR="00960921" w:rsidRDefault="00960921" w:rsidP="0096092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                     w urzędach celno – skarbowych</w:t>
      </w:r>
    </w:p>
    <w:p w:rsidR="00960921" w:rsidRDefault="00960921" w:rsidP="00960921">
      <w:pPr>
        <w:spacing w:before="120" w:after="120" w:line="276" w:lineRule="auto"/>
        <w:jc w:val="center"/>
        <w:rPr>
          <w:b/>
        </w:rPr>
      </w:pPr>
      <w:r>
        <w:rPr>
          <w:b/>
        </w:rPr>
        <w:t xml:space="preserve">                 i urzędach skarbowych</w:t>
      </w:r>
    </w:p>
    <w:p w:rsidR="00960921" w:rsidRDefault="00960921" w:rsidP="00960921">
      <w:pPr>
        <w:spacing w:before="120" w:after="120" w:line="276" w:lineRule="auto"/>
        <w:rPr>
          <w:b/>
        </w:rPr>
      </w:pPr>
    </w:p>
    <w:p w:rsidR="00960921" w:rsidRDefault="00960921" w:rsidP="00960921">
      <w:pPr>
        <w:spacing w:before="120" w:after="120" w:line="276" w:lineRule="auto"/>
        <w:rPr>
          <w:b/>
          <w:i/>
        </w:rPr>
      </w:pPr>
    </w:p>
    <w:p w:rsidR="00960921" w:rsidRDefault="00FE69C2" w:rsidP="00960921">
      <w:pPr>
        <w:spacing w:before="120" w:after="120" w:line="276" w:lineRule="auto"/>
        <w:rPr>
          <w:b/>
          <w:i/>
        </w:rPr>
      </w:pPr>
      <w:r>
        <w:rPr>
          <w:b/>
          <w:i/>
        </w:rPr>
        <w:t>Dot. prakty</w:t>
      </w:r>
      <w:r w:rsidR="004A5B64">
        <w:rPr>
          <w:b/>
          <w:i/>
        </w:rPr>
        <w:t>k po XXXI zjeździe aplikantów X</w:t>
      </w:r>
      <w:r w:rsidR="00960921">
        <w:rPr>
          <w:b/>
          <w:i/>
        </w:rPr>
        <w:t xml:space="preserve"> rocznika aplikacji </w:t>
      </w:r>
      <w:r>
        <w:rPr>
          <w:b/>
          <w:i/>
        </w:rPr>
        <w:t xml:space="preserve">prokuratorskiej 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rPr>
          <w:rFonts w:eastAsia="Calibri"/>
        </w:rPr>
        <w:t xml:space="preserve">Na podstawie § 2, 9 i 10 zarządzenia Dyrektora Krajowej Szkoły Sądownictwa </w:t>
      </w:r>
      <w:r>
        <w:rPr>
          <w:rFonts w:eastAsia="Calibri"/>
        </w:rPr>
        <w:br/>
        <w:t>i Prokuratury w Krakowie Nr 132/2019 z dnia 15 marca 2019 roku w sprawie szczegółowych zasad odbywania praktyk przez aplikantów aplikacji sędziowskiej i prokuratorskiej</w:t>
      </w:r>
      <w:r>
        <w:t xml:space="preserve"> oraz mając na uwadze treść porozumienia o </w:t>
      </w:r>
      <w:r w:rsidRPr="00204A3C">
        <w:t>współpracy z dnia 9 października 2017</w:t>
      </w:r>
      <w:r>
        <w:t xml:space="preserve"> r. zawartego pomiędzy Krajową Szkołą Sądownictwa i Prokuratury i Szefem Krajowej Administracji Skarbowej uprzejmie przedstawiam szczegółowy zakres tematyczny, który winien być przedmiotem praktyk aplikantów aplikacji prokuratorskiej odbywany</w:t>
      </w:r>
      <w:r w:rsidR="00FE69C2">
        <w:t xml:space="preserve">ch w urzędach celno-skarbowych lub </w:t>
      </w:r>
      <w:r>
        <w:t>urz</w:t>
      </w:r>
      <w:r w:rsidR="00FE69C2">
        <w:t>ędach skarbowych w okresie od 22 listopada 2021 r. do 3 grudnia 2021</w:t>
      </w:r>
      <w:r>
        <w:t xml:space="preserve"> r.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 xml:space="preserve">Zasadniczym celem praktyk jest zaznajomienie aplikantów z czynnościami i metodyką pracy patrona oraz doskonalenie umiejętności wykorzystania wiedzy teoretycznej i znajomości orzecznictwa. Każdorazowo praktyka winna utrwalić wiedzę zdobytą podczas bezpośrednio poprzedzających ją zajęć seminaryjnych w ramach zjazdu. </w:t>
      </w:r>
    </w:p>
    <w:p w:rsidR="00960921" w:rsidRDefault="00960921" w:rsidP="001D3D72">
      <w:pPr>
        <w:spacing w:before="120" w:after="120" w:line="360" w:lineRule="auto"/>
        <w:ind w:firstLine="708"/>
        <w:jc w:val="both"/>
      </w:pPr>
      <w:r>
        <w:t>Przedmiot</w:t>
      </w:r>
      <w:r w:rsidR="00FE69C2">
        <w:t>em</w:t>
      </w:r>
      <w:r>
        <w:t xml:space="preserve"> X</w:t>
      </w:r>
      <w:r w:rsidR="00FE69C2">
        <w:t>XX</w:t>
      </w:r>
      <w:r>
        <w:t xml:space="preserve">I zjazdu aplikacji prokuratorskiej, </w:t>
      </w:r>
      <w:r w:rsidR="00FE69C2">
        <w:t>który odbędzie się w dniach od 15 do 19 listopada 2021 roku, będą</w:t>
      </w:r>
      <w:r>
        <w:t xml:space="preserve"> następujące zagadnienia: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</w:rPr>
      </w:pPr>
      <w:r>
        <w:rPr>
          <w:color w:val="000000"/>
          <w:kern w:val="144"/>
          <w:u w:val="single"/>
        </w:rPr>
        <w:t>Przestępstwa i wykroczenia skarbowe</w:t>
      </w:r>
      <w:r>
        <w:rPr>
          <w:color w:val="000000"/>
          <w:kern w:val="144"/>
        </w:rPr>
        <w:t>.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</w:rPr>
      </w:pPr>
      <w:r>
        <w:rPr>
          <w:color w:val="000000"/>
          <w:kern w:val="144"/>
        </w:rPr>
        <w:t xml:space="preserve">Kodeks karny skarbowy </w:t>
      </w:r>
      <w:r>
        <w:rPr>
          <w:b/>
          <w:color w:val="000000"/>
          <w:kern w:val="144"/>
        </w:rPr>
        <w:t xml:space="preserve">– </w:t>
      </w:r>
      <w:r>
        <w:rPr>
          <w:color w:val="000000"/>
          <w:kern w:val="144"/>
        </w:rPr>
        <w:t xml:space="preserve">szczególne zasady odpowiedzialności w porównaniu z zasadami określonymi w Kodeksie karnym. Problematyka zbiegu idealnego (art. 8 </w:t>
      </w:r>
      <w:proofErr w:type="spellStart"/>
      <w:r>
        <w:rPr>
          <w:color w:val="000000"/>
          <w:kern w:val="144"/>
        </w:rPr>
        <w:t>k.k.s</w:t>
      </w:r>
      <w:proofErr w:type="spellEnd"/>
      <w:r>
        <w:rPr>
          <w:color w:val="000000"/>
          <w:kern w:val="144"/>
        </w:rPr>
        <w:t xml:space="preserve">.). Wybrane przestępstwa i wykroczenia skarbowe, zwłaszcza przeciwko obowiązkom podatkowym (m.in. </w:t>
      </w:r>
      <w:r>
        <w:rPr>
          <w:color w:val="000000"/>
          <w:kern w:val="144"/>
        </w:rPr>
        <w:lastRenderedPageBreak/>
        <w:t xml:space="preserve">art. 54-56, 60-62, 63-65, 76 i 83 </w:t>
      </w:r>
      <w:proofErr w:type="spellStart"/>
      <w:r>
        <w:rPr>
          <w:color w:val="000000"/>
          <w:kern w:val="144"/>
        </w:rPr>
        <w:t>k.k.s</w:t>
      </w:r>
      <w:proofErr w:type="spellEnd"/>
      <w:r>
        <w:rPr>
          <w:color w:val="000000"/>
          <w:kern w:val="144"/>
        </w:rPr>
        <w:t xml:space="preserve">.) i przeciwko organizacji gier hazardowych.  </w:t>
      </w:r>
    </w:p>
    <w:p w:rsidR="00617D9E" w:rsidRDefault="00617D9E" w:rsidP="00617D9E">
      <w:pPr>
        <w:spacing w:line="360" w:lineRule="auto"/>
        <w:jc w:val="both"/>
      </w:pPr>
    </w:p>
    <w:p w:rsidR="00617D9E" w:rsidRDefault="00617D9E" w:rsidP="00617D9E">
      <w:pPr>
        <w:spacing w:line="360" w:lineRule="auto"/>
        <w:jc w:val="both"/>
      </w:pPr>
      <w:r>
        <w:rPr>
          <w:u w:val="single"/>
        </w:rPr>
        <w:t>Postępowanie karne skarbowe</w:t>
      </w:r>
      <w:r>
        <w:t>.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  <w:lang w:eastAsia="en-US"/>
        </w:rPr>
      </w:pPr>
      <w:r>
        <w:rPr>
          <w:color w:val="000000"/>
          <w:kern w:val="144"/>
          <w:lang w:eastAsia="en-US"/>
        </w:rPr>
        <w:t xml:space="preserve">Odrębności procedury karnej skarbowej. Postępowanie przygotowawcze, z uwzględnieniem finansowych i niefinansowych organów postępowania przygotowawczego, nadzoru prokuratora nad postępowaniem karnym skarbowym. Dobrowolne poddanie się odpowiedzialności. Postępowanie jurysdykcyjne w sprawach karnych skarbowych. </w:t>
      </w:r>
    </w:p>
    <w:p w:rsidR="00617D9E" w:rsidRDefault="00617D9E" w:rsidP="00617D9E">
      <w:pPr>
        <w:spacing w:line="360" w:lineRule="auto"/>
        <w:jc w:val="both"/>
      </w:pPr>
    </w:p>
    <w:p w:rsidR="00617D9E" w:rsidRDefault="00617D9E" w:rsidP="00617D9E">
      <w:pPr>
        <w:spacing w:line="360" w:lineRule="auto"/>
        <w:jc w:val="both"/>
      </w:pPr>
      <w:r>
        <w:rPr>
          <w:u w:val="single"/>
        </w:rPr>
        <w:t>Metodyka prowadzenia śledztw finansowo-skarbowych</w:t>
      </w:r>
      <w:r>
        <w:t>.</w:t>
      </w:r>
    </w:p>
    <w:p w:rsidR="00617D9E" w:rsidRDefault="00617D9E" w:rsidP="00617D9E">
      <w:pPr>
        <w:widowControl w:val="0"/>
        <w:spacing w:line="360" w:lineRule="auto"/>
        <w:jc w:val="both"/>
        <w:rPr>
          <w:color w:val="000000"/>
          <w:kern w:val="144"/>
          <w:lang w:eastAsia="en-US"/>
        </w:rPr>
      </w:pPr>
      <w:r>
        <w:rPr>
          <w:color w:val="000000"/>
          <w:szCs w:val="22"/>
          <w:lang w:eastAsia="en-US"/>
        </w:rPr>
        <w:t>Istota oszustwa podatkowego, podstawowe mechanizmy nadużyć przy rozliczaniu podatku VAT i akcyzowego, pierwsze czynności procesowe, dokumentacja finansowo-księgowa przedsiębiorców, opinia biegłego w sprawach gospodarczych, kwalifikacja prawna czynów, decyzje podatkowe i ich rola w postępowaniu karnym i karnym skarbowym, pranie brudnych pieniędzy pochodzących z uszczupleń podatkowych, współpraca z Krajową Administracją Skarbową i Generalnym Inspektorem Informacji Finansowej.</w:t>
      </w:r>
    </w:p>
    <w:p w:rsidR="00960921" w:rsidRPr="00617D9E" w:rsidRDefault="00617D9E" w:rsidP="00617D9E">
      <w:pPr>
        <w:spacing w:before="120" w:after="120" w:line="360" w:lineRule="auto"/>
        <w:ind w:firstLine="708"/>
        <w:jc w:val="both"/>
        <w:rPr>
          <w:b/>
        </w:rPr>
      </w:pPr>
      <w:r w:rsidRPr="00617D9E">
        <w:rPr>
          <w:b/>
        </w:rPr>
        <w:t xml:space="preserve">Celem praktyki jest utrwalenie umiejętności sporządzania  aktu oskarżenia </w:t>
      </w:r>
      <w:r w:rsidR="004A5B64">
        <w:rPr>
          <w:b/>
        </w:rPr>
        <w:br/>
      </w:r>
      <w:r w:rsidRPr="00617D9E">
        <w:rPr>
          <w:b/>
        </w:rPr>
        <w:t>w sprawie o przestępstwo skarbowe oraz zapoznanie aplikantów z metodyką udziału prokuratora w postępowaniach objętych tematyką zjazdu.</w:t>
      </w:r>
    </w:p>
    <w:p w:rsidR="00960921" w:rsidRDefault="00960921" w:rsidP="00960921">
      <w:pPr>
        <w:spacing w:before="120" w:after="120" w:line="360" w:lineRule="auto"/>
        <w:ind w:firstLine="708"/>
        <w:jc w:val="both"/>
        <w:rPr>
          <w:bCs/>
          <w:iCs/>
        </w:rPr>
      </w:pPr>
      <w:r>
        <w:t xml:space="preserve">Patroni praktyk oraz patroni koordynatorzy winni zadbać, aby aplikanci mieli w toku praktyki możliwość zapoznania się z przebiegiem postępowania w sprawach karnych skarbowych i w sprawach o wykroczenia, ze szczególnym zwróceniem uwagi na czynności procesowe podejmowane w dochodzeniach i śledztwach. Ważnym jest, aby aplikanci mieli możliwość sporządzenia projektów </w:t>
      </w:r>
      <w:r>
        <w:rPr>
          <w:bCs/>
          <w:iCs/>
        </w:rPr>
        <w:t>postanowień o wszczęciu postępowania w sprawach karnych skarbowych, przedstawieniu zarzutów, zabezpieczeniu majątkowym (także wobec podmiotów zbiorowych), pociągnięciu do odpowiedzialności posiłkowej, opracowywania decyzji kończąc</w:t>
      </w:r>
      <w:r w:rsidR="00FE69C2">
        <w:rPr>
          <w:bCs/>
          <w:iCs/>
        </w:rPr>
        <w:t>ych postępowanie przygotowawcze w szczególności aktów oskarżenia,</w:t>
      </w:r>
      <w:r>
        <w:rPr>
          <w:bCs/>
          <w:iCs/>
        </w:rPr>
        <w:t xml:space="preserve"> a także uczestniczenia w przesłuchaniach świadków i podejrzanych.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>Przy dokonywaniu oceny pracy aplikantów, w tym zwłaszcza projektów sporządzanych przez nich decyzji, istotnym jest zwracanie uwagi nie tylko na merytoryczną trafność i formalną poprawność rozstrzygnięcia, ale także na rodzaj użytej argumentacji, logikę i poprawność językową.</w:t>
      </w:r>
      <w:r>
        <w:rPr>
          <w:bCs/>
          <w:iCs/>
        </w:rPr>
        <w:t xml:space="preserve"> </w:t>
      </w:r>
      <w:r>
        <w:t xml:space="preserve">Celem praktyki jest bowiem nie tylko nauka podejmowania właściwych decyzji procesowych, ale także wykształcenie umiejętności obrony własnego </w:t>
      </w:r>
      <w:r>
        <w:lastRenderedPageBreak/>
        <w:t>stanowiska w sprawie,</w:t>
      </w:r>
      <w:r w:rsidR="004A5B64">
        <w:br/>
      </w:r>
      <w:r>
        <w:t xml:space="preserve"> w tym stosowania prawidłowej argumentacji.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>Aplikantom należy umożliwić również pracę nad sprawami, których ich patron nie jest referentem, a także nad spraw</w:t>
      </w:r>
      <w:r w:rsidR="00FE69C2">
        <w:t>ami już zakończonymi – tak aby aplikant miał możliwość poznania</w:t>
      </w:r>
      <w:r>
        <w:t xml:space="preserve"> szerokiego zakresu zag</w:t>
      </w:r>
      <w:r w:rsidR="00FE69C2">
        <w:t>adnień związanych z tematyką XXX</w:t>
      </w:r>
      <w:r>
        <w:t xml:space="preserve">I zjazdu. Za niedopuszczalną </w:t>
      </w:r>
      <w:r w:rsidR="00FE69C2">
        <w:t xml:space="preserve">bowiem </w:t>
      </w:r>
      <w:r>
        <w:t>należy natomiast uznać sytuację, w której aplikant nie wykonuje ż</w:t>
      </w:r>
      <w:r w:rsidR="00FE69C2">
        <w:t xml:space="preserve">adnych czynności związanych z </w:t>
      </w:r>
      <w:r>
        <w:t xml:space="preserve"> tematyką</w:t>
      </w:r>
      <w:r w:rsidR="00FE69C2">
        <w:t xml:space="preserve"> danego zjazdu</w:t>
      </w:r>
      <w:r>
        <w:t>.</w:t>
      </w:r>
    </w:p>
    <w:p w:rsidR="00960921" w:rsidRDefault="00960921" w:rsidP="00960921">
      <w:pPr>
        <w:spacing w:before="120" w:after="120" w:line="360" w:lineRule="auto"/>
        <w:ind w:firstLine="708"/>
        <w:jc w:val="both"/>
      </w:pPr>
      <w:r>
        <w:t>Powyższe zalecenia nie eliminują możliwości wykonywania przez aplikantów innych zadań wynikających z bieżącego funkcjonowania prokuratury, a mających wpływ na całościowe opanowanie prokuratorskiego warsztatu pracy.</w:t>
      </w:r>
    </w:p>
    <w:p w:rsidR="00960921" w:rsidRDefault="00960921" w:rsidP="00960921">
      <w:pPr>
        <w:spacing w:before="120" w:after="120" w:line="360" w:lineRule="auto"/>
        <w:ind w:firstLine="708"/>
        <w:jc w:val="both"/>
        <w:rPr>
          <w:b/>
        </w:rPr>
      </w:pPr>
      <w:r>
        <w:rPr>
          <w:b/>
        </w:rPr>
        <w:t xml:space="preserve">Należy mieć na uwadze, że przedmiotem sprawdzianu, który aplikanci </w:t>
      </w:r>
      <w:r w:rsidR="00FE69C2">
        <w:rPr>
          <w:b/>
        </w:rPr>
        <w:t>będą pisać po odbyciu praktyki tj. w dniu 13 grudnia 2021 r.</w:t>
      </w:r>
      <w:r>
        <w:rPr>
          <w:b/>
        </w:rPr>
        <w:t xml:space="preserve"> będzie sporządzenie projektu aktu oskarżenia </w:t>
      </w:r>
      <w:r w:rsidR="00FE69C2">
        <w:rPr>
          <w:b/>
        </w:rPr>
        <w:t xml:space="preserve">wraz uzasadnieniem </w:t>
      </w:r>
      <w:r>
        <w:rPr>
          <w:b/>
        </w:rPr>
        <w:t>w sprawie o przestępstwo karne skarbowe. Dlatego ważnym jest, aby podczas praktyk aplikanci opanowali tę umiejętność w jak najwyższym stopniu.</w:t>
      </w:r>
    </w:p>
    <w:p w:rsidR="00960921" w:rsidRDefault="00960921" w:rsidP="00960921">
      <w:pPr>
        <w:spacing w:before="120" w:after="120" w:line="276" w:lineRule="auto"/>
      </w:pPr>
    </w:p>
    <w:p w:rsidR="00960921" w:rsidRDefault="00FE69C2" w:rsidP="00FE69C2">
      <w:pPr>
        <w:ind w:left="2268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Kierownik</w:t>
      </w:r>
    </w:p>
    <w:p w:rsidR="00960921" w:rsidRDefault="00960921" w:rsidP="00960921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Działu Dydaktycznego</w:t>
      </w:r>
    </w:p>
    <w:p w:rsidR="00960921" w:rsidRDefault="00960921" w:rsidP="00960921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w Ośrodku Aplikacji Prokuratorskiej</w:t>
      </w:r>
    </w:p>
    <w:p w:rsidR="00960921" w:rsidRDefault="00960921" w:rsidP="00960921">
      <w:pPr>
        <w:ind w:left="2268"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Krajowej Szkoły Sądownictwa i Prokuratury</w:t>
      </w:r>
    </w:p>
    <w:p w:rsidR="00960921" w:rsidRDefault="00960921" w:rsidP="00960921">
      <w:pPr>
        <w:ind w:left="2268"/>
        <w:jc w:val="center"/>
      </w:pPr>
    </w:p>
    <w:p w:rsidR="00960921" w:rsidRDefault="00960921" w:rsidP="00960921">
      <w:pPr>
        <w:ind w:left="226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Marta Zin</w:t>
      </w:r>
    </w:p>
    <w:p w:rsidR="00960921" w:rsidRDefault="00960921" w:rsidP="00960921">
      <w:pPr>
        <w:ind w:left="226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Prokurator </w:t>
      </w:r>
    </w:p>
    <w:p w:rsidR="00960921" w:rsidRDefault="00960921" w:rsidP="00960921">
      <w:pPr>
        <w:jc w:val="center"/>
      </w:pPr>
    </w:p>
    <w:p w:rsidR="00960921" w:rsidRDefault="00960921" w:rsidP="00960921">
      <w:pPr>
        <w:spacing w:before="120" w:after="120" w:line="360" w:lineRule="auto"/>
        <w:ind w:firstLine="708"/>
        <w:jc w:val="both"/>
      </w:pPr>
    </w:p>
    <w:p w:rsidR="000B4076" w:rsidRDefault="000B4076"/>
    <w:sectPr w:rsidR="000B4076" w:rsidSect="003D14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560" w:left="1418" w:header="568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588" w:rsidRDefault="00A55588">
      <w:r>
        <w:separator/>
      </w:r>
    </w:p>
  </w:endnote>
  <w:endnote w:type="continuationSeparator" w:id="0">
    <w:p w:rsidR="00A55588" w:rsidRDefault="00A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hruti">
    <w:panose1 w:val="02000500000000000000"/>
    <w:charset w:val="01"/>
    <w:family w:val="roman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D4" w:rsidRDefault="003B44D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3B44D4">
      <w:rPr>
        <w:noProof/>
      </w:rPr>
      <w:t>2</w:t>
    </w:r>
    <w:r>
      <w:rPr>
        <w:noProof/>
      </w:rPr>
      <w:fldChar w:fldCharType="end"/>
    </w:r>
  </w:p>
  <w:p w:rsidR="001B510F" w:rsidRDefault="00A5558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1B510F" w:rsidTr="003D147B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:rsidR="001B510F" w:rsidRPr="0074505E" w:rsidRDefault="00A55588" w:rsidP="003D147B">
          <w:pPr>
            <w:pStyle w:val="Stopka"/>
            <w:rPr>
              <w:sz w:val="4"/>
              <w:szCs w:val="4"/>
            </w:rPr>
          </w:pPr>
        </w:p>
      </w:tc>
    </w:tr>
  </w:tbl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:rsidR="001B510F" w:rsidRPr="00A944C8" w:rsidRDefault="005C1373" w:rsidP="000828FB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:rsidR="001B510F" w:rsidRDefault="00A55588" w:rsidP="003D14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588" w:rsidRDefault="00A55588">
      <w:r>
        <w:separator/>
      </w:r>
    </w:p>
  </w:footnote>
  <w:footnote w:type="continuationSeparator" w:id="0">
    <w:p w:rsidR="00A55588" w:rsidRDefault="00A555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4D4" w:rsidRDefault="003B44D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Pr="009B38B3" w:rsidRDefault="005C1373" w:rsidP="003D147B">
    <w:pPr>
      <w:pStyle w:val="Nagwek"/>
      <w:jc w:val="right"/>
      <w:rPr>
        <w:rFonts w:ascii="Century Gothic" w:hAnsi="Century Gothic"/>
        <w:sz w:val="16"/>
        <w:szCs w:val="16"/>
      </w:rPr>
    </w:pPr>
    <w:r w:rsidRPr="009B38B3">
      <w:rPr>
        <w:rFonts w:ascii="Century Gothic" w:hAnsi="Century Gothic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10F" w:rsidRDefault="005C1373" w:rsidP="003D147B">
    <w:pPr>
      <w:pStyle w:val="Nagwek"/>
      <w:tabs>
        <w:tab w:val="clear" w:pos="4536"/>
        <w:tab w:val="clear" w:pos="9072"/>
        <w:tab w:val="center" w:pos="1080"/>
        <w:tab w:val="left" w:pos="1440"/>
        <w:tab w:val="right" w:pos="5103"/>
        <w:tab w:val="left" w:pos="10527"/>
      </w:tabs>
      <w:ind w:left="-851" w:right="5526"/>
      <w:rPr>
        <w:rFonts w:ascii="Century Gothic" w:hAnsi="Century Gothic" w:cs="Shruti"/>
        <w:spacing w:val="20"/>
        <w:sz w:val="30"/>
        <w:szCs w:val="30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E8C1DEB" wp14:editId="206492B8">
          <wp:simplePos x="0" y="0"/>
          <wp:positionH relativeFrom="column">
            <wp:posOffset>621665</wp:posOffset>
          </wp:positionH>
          <wp:positionV relativeFrom="paragraph">
            <wp:posOffset>-42545</wp:posOffset>
          </wp:positionV>
          <wp:extent cx="501015" cy="476885"/>
          <wp:effectExtent l="0" t="0" r="0" b="0"/>
          <wp:wrapNone/>
          <wp:docPr id="1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01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 w:cs="Shruti"/>
        <w:spacing w:val="20"/>
        <w:sz w:val="30"/>
        <w:szCs w:val="30"/>
      </w:rPr>
      <w:t xml:space="preserve">  </w:t>
    </w:r>
  </w:p>
  <w:p w:rsidR="001B510F" w:rsidRDefault="00A55588" w:rsidP="003D147B">
    <w:pPr>
      <w:pStyle w:val="Nagwek"/>
      <w:ind w:right="4959"/>
      <w:jc w:val="center"/>
      <w:rPr>
        <w:b/>
      </w:rPr>
    </w:pPr>
  </w:p>
  <w:p w:rsidR="001B510F" w:rsidRPr="009E7ADE" w:rsidRDefault="00A55588" w:rsidP="003D147B">
    <w:pPr>
      <w:pStyle w:val="Nagwek"/>
      <w:ind w:left="-851" w:right="5526"/>
      <w:jc w:val="center"/>
      <w:rPr>
        <w:b/>
        <w:sz w:val="8"/>
        <w:szCs w:val="8"/>
      </w:rPr>
    </w:pPr>
  </w:p>
  <w:p w:rsidR="001B510F" w:rsidRPr="00551ABF" w:rsidRDefault="005C1373" w:rsidP="003D147B">
    <w:pPr>
      <w:pStyle w:val="Nagwek"/>
      <w:ind w:left="-851" w:right="5526"/>
      <w:jc w:val="center"/>
      <w:rPr>
        <w:b/>
      </w:rPr>
    </w:pPr>
    <w:r w:rsidRPr="00551ABF">
      <w:rPr>
        <w:b/>
      </w:rPr>
      <w:t>KRAJOW</w:t>
    </w:r>
    <w:r>
      <w:rPr>
        <w:b/>
      </w:rPr>
      <w:t>A</w:t>
    </w:r>
    <w:r w:rsidRPr="00551ABF">
      <w:rPr>
        <w:b/>
      </w:rPr>
      <w:t xml:space="preserve"> SZKOŁ</w:t>
    </w:r>
    <w:r>
      <w:rPr>
        <w:b/>
      </w:rPr>
      <w:t>A</w:t>
    </w:r>
  </w:p>
  <w:p w:rsidR="001B510F" w:rsidRDefault="005C1373" w:rsidP="003D147B">
    <w:pPr>
      <w:pStyle w:val="Nagwek"/>
      <w:ind w:left="-851" w:right="5526"/>
      <w:jc w:val="center"/>
      <w:rPr>
        <w:b/>
      </w:rPr>
    </w:pPr>
    <w:r w:rsidRPr="00D021CB">
      <w:rPr>
        <w:b/>
      </w:rPr>
      <w:t>SĄDOWNICTWA I PROKURATURY</w:t>
    </w:r>
  </w:p>
  <w:p w:rsidR="00E20B98" w:rsidRPr="00D021CB" w:rsidRDefault="00A55588" w:rsidP="003D147B">
    <w:pPr>
      <w:pStyle w:val="Nagwek"/>
      <w:ind w:left="-851" w:right="552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149C7"/>
    <w:multiLevelType w:val="hybridMultilevel"/>
    <w:tmpl w:val="1D243B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D5A8E"/>
    <w:multiLevelType w:val="hybridMultilevel"/>
    <w:tmpl w:val="674079C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605"/>
    <w:multiLevelType w:val="hybridMultilevel"/>
    <w:tmpl w:val="EE747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73"/>
    <w:rsid w:val="000B4076"/>
    <w:rsid w:val="001D3D72"/>
    <w:rsid w:val="00204A3C"/>
    <w:rsid w:val="00313595"/>
    <w:rsid w:val="00313D8C"/>
    <w:rsid w:val="003B44D4"/>
    <w:rsid w:val="00435CDB"/>
    <w:rsid w:val="00482F4C"/>
    <w:rsid w:val="004A5B64"/>
    <w:rsid w:val="004D6A13"/>
    <w:rsid w:val="00550C70"/>
    <w:rsid w:val="005C1373"/>
    <w:rsid w:val="00617D9E"/>
    <w:rsid w:val="006B749F"/>
    <w:rsid w:val="006E5C1B"/>
    <w:rsid w:val="0088182B"/>
    <w:rsid w:val="00960921"/>
    <w:rsid w:val="00A55588"/>
    <w:rsid w:val="00AD2C76"/>
    <w:rsid w:val="00B26ACA"/>
    <w:rsid w:val="00BC1096"/>
    <w:rsid w:val="00BC5B11"/>
    <w:rsid w:val="00BF11A1"/>
    <w:rsid w:val="00DF63F3"/>
    <w:rsid w:val="00ED39E2"/>
    <w:rsid w:val="00F866FC"/>
    <w:rsid w:val="00FD66CC"/>
    <w:rsid w:val="00FE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0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C1373"/>
  </w:style>
  <w:style w:type="paragraph" w:styleId="Stopka">
    <w:name w:val="footer"/>
    <w:basedOn w:val="Normalny"/>
    <w:link w:val="StopkaZnak"/>
    <w:uiPriority w:val="99"/>
    <w:unhideWhenUsed/>
    <w:rsid w:val="005C137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C1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7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759</Words>
  <Characters>4555</Characters>
  <Application>Microsoft Office Word</Application>
  <DocSecurity>0</DocSecurity>
  <Lines>37</Lines>
  <Paragraphs>10</Paragraphs>
  <ScaleCrop>false</ScaleCrop>
  <Company/>
  <LinksUpToDate>false</LinksUpToDate>
  <CharactersWithSpaces>5304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2021-10-25T13:17:00Z</dcterms:created>
  <dcterms:modified xsi:type="dcterms:W3CDTF">2021-10-25T13:17:00Z</dcterms:modified>
</cp:coreProperties>
</file>