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47" w:rsidRPr="00CA6347" w:rsidRDefault="00CA6347" w:rsidP="00CA6347">
      <w:pPr>
        <w:spacing w:after="0" w:line="360" w:lineRule="auto"/>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OAP-II.420.</w:t>
      </w:r>
      <w:r>
        <w:rPr>
          <w:rFonts w:ascii="Times New Roman" w:eastAsia="Times New Roman" w:hAnsi="Times New Roman" w:cs="Times New Roman"/>
          <w:sz w:val="24"/>
          <w:szCs w:val="24"/>
          <w:lang w:eastAsia="pl-PL"/>
        </w:rPr>
        <w:t>4</w:t>
      </w:r>
      <w:r w:rsidRPr="00CA6347">
        <w:rPr>
          <w:rFonts w:ascii="Times New Roman" w:eastAsia="Times New Roman" w:hAnsi="Times New Roman" w:cs="Times New Roman"/>
          <w:sz w:val="24"/>
          <w:szCs w:val="24"/>
          <w:lang w:eastAsia="pl-PL"/>
        </w:rPr>
        <w:t xml:space="preserve">.2020 </w:t>
      </w:r>
      <w:r w:rsidRPr="00CA6347">
        <w:rPr>
          <w:rFonts w:ascii="Times New Roman" w:eastAsia="Times New Roman" w:hAnsi="Times New Roman" w:cs="Times New Roman"/>
          <w:sz w:val="24"/>
          <w:szCs w:val="24"/>
          <w:lang w:eastAsia="pl-PL"/>
        </w:rPr>
        <w:tab/>
      </w:r>
      <w:r w:rsidRPr="00CA6347">
        <w:rPr>
          <w:rFonts w:ascii="Times New Roman" w:eastAsia="Times New Roman" w:hAnsi="Times New Roman" w:cs="Times New Roman"/>
          <w:sz w:val="24"/>
          <w:szCs w:val="24"/>
          <w:lang w:eastAsia="pl-PL"/>
        </w:rPr>
        <w:tab/>
      </w:r>
      <w:r w:rsidRPr="00CA6347">
        <w:rPr>
          <w:rFonts w:ascii="Times New Roman" w:eastAsia="Times New Roman" w:hAnsi="Times New Roman" w:cs="Times New Roman"/>
          <w:sz w:val="24"/>
          <w:szCs w:val="24"/>
          <w:lang w:eastAsia="pl-PL"/>
        </w:rPr>
        <w:tab/>
      </w:r>
      <w:r w:rsidRPr="00CA6347">
        <w:rPr>
          <w:rFonts w:ascii="Times New Roman" w:eastAsia="Times New Roman" w:hAnsi="Times New Roman" w:cs="Times New Roman"/>
          <w:sz w:val="24"/>
          <w:szCs w:val="24"/>
          <w:lang w:eastAsia="pl-PL"/>
        </w:rPr>
        <w:tab/>
      </w:r>
      <w:r w:rsidRPr="00CA6347">
        <w:rPr>
          <w:rFonts w:ascii="Times New Roman" w:eastAsia="Times New Roman" w:hAnsi="Times New Roman" w:cs="Times New Roman"/>
          <w:sz w:val="24"/>
          <w:szCs w:val="24"/>
          <w:lang w:eastAsia="pl-PL"/>
        </w:rPr>
        <w:tab/>
      </w:r>
      <w:r w:rsidRPr="00CA6347">
        <w:rPr>
          <w:rFonts w:ascii="Times New Roman" w:eastAsia="Times New Roman" w:hAnsi="Times New Roman" w:cs="Times New Roman"/>
          <w:sz w:val="24"/>
          <w:szCs w:val="24"/>
          <w:lang w:eastAsia="pl-PL"/>
        </w:rPr>
        <w:tab/>
        <w:t xml:space="preserve">Kraków, dnia </w:t>
      </w:r>
      <w:r>
        <w:rPr>
          <w:rFonts w:ascii="Times New Roman" w:eastAsia="Times New Roman" w:hAnsi="Times New Roman" w:cs="Times New Roman"/>
          <w:sz w:val="24"/>
          <w:szCs w:val="24"/>
          <w:lang w:eastAsia="pl-PL"/>
        </w:rPr>
        <w:t>14 lipca</w:t>
      </w:r>
      <w:r w:rsidRPr="00CA6347">
        <w:rPr>
          <w:rFonts w:ascii="Times New Roman" w:eastAsia="Times New Roman" w:hAnsi="Times New Roman" w:cs="Times New Roman"/>
          <w:sz w:val="24"/>
          <w:szCs w:val="24"/>
          <w:lang w:eastAsia="pl-PL"/>
        </w:rPr>
        <w:t xml:space="preserve"> 2020 r.</w:t>
      </w:r>
    </w:p>
    <w:p w:rsidR="00CA6347" w:rsidRPr="00CA6347" w:rsidRDefault="00CA6347" w:rsidP="00CA6347">
      <w:pPr>
        <w:spacing w:after="0" w:line="360" w:lineRule="auto"/>
        <w:rPr>
          <w:rFonts w:ascii="Times New Roman" w:eastAsia="Times New Roman" w:hAnsi="Times New Roman" w:cs="Times New Roman"/>
          <w:sz w:val="24"/>
          <w:szCs w:val="24"/>
          <w:lang w:eastAsia="pl-PL"/>
        </w:rPr>
      </w:pPr>
    </w:p>
    <w:p w:rsidR="00CA6347" w:rsidRPr="00CA6347" w:rsidRDefault="00CA6347" w:rsidP="00CA6347">
      <w:pPr>
        <w:tabs>
          <w:tab w:val="left" w:pos="4820"/>
        </w:tabs>
        <w:spacing w:after="0" w:line="240" w:lineRule="auto"/>
        <w:rPr>
          <w:rFonts w:ascii="Times New Roman" w:eastAsia="Times New Roman" w:hAnsi="Times New Roman" w:cs="Times New Roman"/>
          <w:b/>
          <w:sz w:val="24"/>
          <w:szCs w:val="24"/>
          <w:lang w:eastAsia="pl-PL"/>
        </w:rPr>
      </w:pPr>
    </w:p>
    <w:p w:rsidR="00CA6347" w:rsidRPr="00CA6347" w:rsidRDefault="00CA6347" w:rsidP="00CA6347">
      <w:pPr>
        <w:tabs>
          <w:tab w:val="left" w:pos="4820"/>
        </w:tabs>
        <w:spacing w:after="0" w:line="240" w:lineRule="auto"/>
        <w:rPr>
          <w:rFonts w:ascii="Times New Roman" w:eastAsia="Times New Roman" w:hAnsi="Times New Roman" w:cs="Times New Roman"/>
          <w:b/>
          <w:sz w:val="24"/>
          <w:szCs w:val="24"/>
          <w:lang w:eastAsia="pl-PL"/>
        </w:rPr>
      </w:pPr>
    </w:p>
    <w:p w:rsidR="00CA6347" w:rsidRPr="00CA6347" w:rsidRDefault="00CA6347" w:rsidP="00CA6347">
      <w:pPr>
        <w:tabs>
          <w:tab w:val="left" w:pos="4820"/>
        </w:tabs>
        <w:spacing w:after="0" w:line="240" w:lineRule="auto"/>
        <w:rPr>
          <w:rFonts w:ascii="Times New Roman" w:eastAsia="Times New Roman" w:hAnsi="Times New Roman" w:cs="Times New Roman"/>
          <w:b/>
          <w:sz w:val="24"/>
          <w:szCs w:val="24"/>
          <w:lang w:eastAsia="pl-PL"/>
        </w:rPr>
      </w:pPr>
    </w:p>
    <w:p w:rsidR="00CA6347" w:rsidRPr="00CA6347" w:rsidRDefault="00CA6347" w:rsidP="00CA6347">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Do Państwa</w:t>
      </w:r>
    </w:p>
    <w:p w:rsidR="00CA6347" w:rsidRPr="00CA6347" w:rsidRDefault="00CA6347" w:rsidP="00CA6347">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 xml:space="preserve">Patronów koordynatorów </w:t>
      </w:r>
    </w:p>
    <w:p w:rsidR="00CA6347" w:rsidRPr="00CA6347" w:rsidRDefault="00CA6347" w:rsidP="00CA6347">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 xml:space="preserve">oraz Patronów praktyk </w:t>
      </w:r>
    </w:p>
    <w:p w:rsidR="00CA6347" w:rsidRPr="00CA6347" w:rsidRDefault="00CA6347" w:rsidP="00CA6347">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aplikantów aplikacji prokuratorskiej</w:t>
      </w:r>
    </w:p>
    <w:p w:rsidR="00CA6347" w:rsidRPr="00CA6347" w:rsidRDefault="00CA6347" w:rsidP="00CA6347">
      <w:pPr>
        <w:spacing w:after="0" w:line="240" w:lineRule="auto"/>
        <w:ind w:left="4248"/>
        <w:rPr>
          <w:rFonts w:ascii="Times New Roman" w:eastAsia="Times New Roman" w:hAnsi="Times New Roman" w:cs="Times New Roman"/>
          <w:b/>
          <w:sz w:val="24"/>
          <w:szCs w:val="24"/>
          <w:lang w:eastAsia="pl-PL"/>
        </w:rPr>
      </w:pPr>
    </w:p>
    <w:p w:rsidR="00CA6347" w:rsidRPr="00CA6347" w:rsidRDefault="00CA6347" w:rsidP="00CA6347">
      <w:pPr>
        <w:spacing w:after="0" w:line="360" w:lineRule="auto"/>
        <w:jc w:val="both"/>
        <w:rPr>
          <w:rFonts w:ascii="Times New Roman" w:eastAsia="Times New Roman" w:hAnsi="Times New Roman" w:cs="Times New Roman"/>
          <w:sz w:val="24"/>
          <w:szCs w:val="24"/>
          <w:lang w:eastAsia="pl-PL"/>
        </w:rPr>
      </w:pPr>
    </w:p>
    <w:p w:rsidR="00CA6347" w:rsidRPr="00CA6347" w:rsidRDefault="00CA6347" w:rsidP="00CA6347">
      <w:pPr>
        <w:spacing w:after="0" w:line="360" w:lineRule="auto"/>
        <w:jc w:val="both"/>
        <w:rPr>
          <w:rFonts w:ascii="Times New Roman" w:eastAsia="Times New Roman" w:hAnsi="Times New Roman" w:cs="Times New Roman"/>
          <w:b/>
          <w:i/>
          <w:sz w:val="24"/>
          <w:szCs w:val="24"/>
          <w:lang w:eastAsia="pl-PL"/>
        </w:rPr>
      </w:pPr>
    </w:p>
    <w:p w:rsidR="00CA6347" w:rsidRPr="00CA6347" w:rsidRDefault="00CA6347" w:rsidP="00CA6347">
      <w:pPr>
        <w:spacing w:after="0" w:line="360" w:lineRule="auto"/>
        <w:jc w:val="both"/>
        <w:rPr>
          <w:rFonts w:ascii="Times New Roman" w:eastAsia="Times New Roman" w:hAnsi="Times New Roman" w:cs="Times New Roman"/>
          <w:b/>
          <w:i/>
          <w:sz w:val="24"/>
          <w:szCs w:val="24"/>
          <w:lang w:eastAsia="pl-PL"/>
        </w:rPr>
      </w:pPr>
      <w:r w:rsidRPr="00CA6347">
        <w:rPr>
          <w:rFonts w:ascii="Times New Roman" w:eastAsia="Times New Roman" w:hAnsi="Times New Roman" w:cs="Times New Roman"/>
          <w:b/>
          <w:i/>
          <w:sz w:val="24"/>
          <w:szCs w:val="24"/>
          <w:lang w:eastAsia="pl-PL"/>
        </w:rPr>
        <w:t>Dotyczy praktyk aplikantów 9. rocznika aplikacji prokuratorskiej po XXV</w:t>
      </w:r>
      <w:r>
        <w:rPr>
          <w:rFonts w:ascii="Times New Roman" w:eastAsia="Times New Roman" w:hAnsi="Times New Roman" w:cs="Times New Roman"/>
          <w:b/>
          <w:i/>
          <w:sz w:val="24"/>
          <w:szCs w:val="24"/>
          <w:lang w:eastAsia="pl-PL"/>
        </w:rPr>
        <w:t>I</w:t>
      </w:r>
      <w:r w:rsidRPr="00CA6347">
        <w:rPr>
          <w:rFonts w:ascii="Times New Roman" w:eastAsia="Times New Roman" w:hAnsi="Times New Roman" w:cs="Times New Roman"/>
          <w:b/>
          <w:i/>
          <w:sz w:val="24"/>
          <w:szCs w:val="24"/>
          <w:lang w:eastAsia="pl-PL"/>
        </w:rPr>
        <w:t xml:space="preserve"> zjeździe</w:t>
      </w:r>
    </w:p>
    <w:p w:rsidR="00CA6347" w:rsidRPr="00CA6347" w:rsidRDefault="00CA6347" w:rsidP="00CA6347">
      <w:pPr>
        <w:spacing w:after="0" w:line="360" w:lineRule="auto"/>
        <w:jc w:val="both"/>
        <w:rPr>
          <w:rFonts w:ascii="Times New Roman" w:eastAsia="Times New Roman" w:hAnsi="Times New Roman" w:cs="Times New Roman"/>
          <w:b/>
          <w:i/>
          <w:sz w:val="24"/>
          <w:szCs w:val="24"/>
          <w:lang w:eastAsia="pl-PL"/>
        </w:rPr>
      </w:pPr>
    </w:p>
    <w:p w:rsidR="00CA6347" w:rsidRPr="00CA6347" w:rsidRDefault="00CA6347" w:rsidP="00CA6347">
      <w:pPr>
        <w:spacing w:after="0" w:line="360" w:lineRule="auto"/>
        <w:jc w:val="both"/>
        <w:rPr>
          <w:rFonts w:ascii="Times New Roman" w:eastAsia="Times New Roman" w:hAnsi="Times New Roman" w:cs="Times New Roman"/>
          <w:b/>
          <w:i/>
          <w:sz w:val="24"/>
          <w:szCs w:val="24"/>
          <w:lang w:eastAsia="pl-PL"/>
        </w:rPr>
      </w:pPr>
    </w:p>
    <w:p w:rsidR="00CA6347" w:rsidRPr="00CA6347" w:rsidRDefault="00CA6347" w:rsidP="00CA6347">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W oparciu o § 2, 9 i 10 zarządzenia Dyrektora Krajowej Szkoły Sądownictwa </w:t>
      </w:r>
      <w:r w:rsidRPr="00CA6347">
        <w:rPr>
          <w:rFonts w:ascii="Times New Roman" w:eastAsia="Times New Roman" w:hAnsi="Times New Roman" w:cs="Times New Roman"/>
          <w:sz w:val="24"/>
          <w:szCs w:val="24"/>
          <w:lang w:eastAsia="pl-PL"/>
        </w:rPr>
        <w:br/>
        <w:t xml:space="preserve">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prokuratorskiej, odbywanych w:  prokuraturach okręgowych wydziałach do spraw przestępczości gospodarczej (w okresie od </w:t>
      </w:r>
      <w:r w:rsidRPr="00CA6347">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17 do 21</w:t>
      </w:r>
      <w:r w:rsidRPr="00CA6347">
        <w:rPr>
          <w:rFonts w:ascii="Times New Roman" w:eastAsia="Times New Roman" w:hAnsi="Times New Roman" w:cs="Times New Roman"/>
          <w:sz w:val="24"/>
          <w:szCs w:val="24"/>
          <w:lang w:eastAsia="pl-PL"/>
        </w:rPr>
        <w:t xml:space="preserve"> sierpnia 2020 roku), oraz prokuraturach rejonowych działach śledczych (w okresie od </w:t>
      </w:r>
      <w:r>
        <w:rPr>
          <w:rFonts w:ascii="Times New Roman" w:eastAsia="Times New Roman" w:hAnsi="Times New Roman" w:cs="Times New Roman"/>
          <w:sz w:val="24"/>
          <w:szCs w:val="24"/>
          <w:lang w:eastAsia="pl-PL"/>
        </w:rPr>
        <w:t>24 do 28</w:t>
      </w:r>
      <w:r w:rsidRPr="00CA6347">
        <w:rPr>
          <w:rFonts w:ascii="Times New Roman" w:eastAsia="Times New Roman" w:hAnsi="Times New Roman" w:cs="Times New Roman"/>
          <w:sz w:val="24"/>
          <w:szCs w:val="24"/>
          <w:lang w:eastAsia="pl-PL"/>
        </w:rPr>
        <w:t xml:space="preserve"> sierpnia 2020 roku).</w:t>
      </w:r>
    </w:p>
    <w:p w:rsidR="00CA6347" w:rsidRPr="00CA6347" w:rsidRDefault="00CA6347" w:rsidP="00CA6347">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sidRPr="00CA6347">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CA6347" w:rsidRPr="00CA6347" w:rsidRDefault="00CA6347" w:rsidP="00CA6347">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Przedmiotem XXV</w:t>
      </w:r>
      <w:r>
        <w:rPr>
          <w:rFonts w:ascii="Times New Roman" w:eastAsia="Times New Roman" w:hAnsi="Times New Roman" w:cs="Times New Roman"/>
          <w:sz w:val="24"/>
          <w:szCs w:val="24"/>
          <w:lang w:eastAsia="pl-PL"/>
        </w:rPr>
        <w:t>I</w:t>
      </w:r>
      <w:r w:rsidRPr="00CA6347">
        <w:rPr>
          <w:rFonts w:ascii="Times New Roman" w:eastAsia="Times New Roman" w:hAnsi="Times New Roman" w:cs="Times New Roman"/>
          <w:sz w:val="24"/>
          <w:szCs w:val="24"/>
          <w:lang w:eastAsia="pl-PL"/>
        </w:rPr>
        <w:t xml:space="preserve"> zjazdu aplikacji prokuratorskiej, który odbył się w sposób zdalny w dniach </w:t>
      </w:r>
      <w:r>
        <w:rPr>
          <w:rFonts w:ascii="Times New Roman" w:eastAsia="Times New Roman" w:hAnsi="Times New Roman" w:cs="Times New Roman"/>
          <w:sz w:val="24"/>
          <w:szCs w:val="24"/>
          <w:lang w:eastAsia="pl-PL"/>
        </w:rPr>
        <w:t>20-24</w:t>
      </w:r>
      <w:r w:rsidRPr="00CA6347">
        <w:rPr>
          <w:rFonts w:ascii="Times New Roman" w:eastAsia="Times New Roman" w:hAnsi="Times New Roman" w:cs="Times New Roman"/>
          <w:sz w:val="24"/>
          <w:szCs w:val="24"/>
          <w:lang w:eastAsia="pl-PL"/>
        </w:rPr>
        <w:t xml:space="preserve"> kwietnia 2020 roku, były następujące zagadnienia:</w:t>
      </w:r>
    </w:p>
    <w:p w:rsidR="00CA6347" w:rsidRPr="00CA6347" w:rsidRDefault="00CA6347" w:rsidP="00CA6347">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Prawo bankowe, wekslowe i czekowe</w:t>
      </w:r>
    </w:p>
    <w:p w:rsidR="00CA6347" w:rsidRPr="00CA6347" w:rsidRDefault="00CA6347" w:rsidP="00CA6347">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Rodzaje czynności bankowych, pojęcie i zakres oraz tryby zwalniania z tajemnicy bankowej, przepisy karne. Rodzaje weksli, uczestnicy zobowiązania wekslowego, zasady odpowiedzialności wekslowej. Rodzaje czeków, zastosowanie czeków w obrocie gospodarczym, przepisy karne. </w:t>
      </w:r>
    </w:p>
    <w:p w:rsidR="00CA6347" w:rsidRPr="00CA6347" w:rsidRDefault="00CA6347" w:rsidP="00CA6347">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lastRenderedPageBreak/>
        <w:t>Odpowiedzialność podmiotów zbiorowych za czyny zabronione pod groźbą kary</w:t>
      </w:r>
      <w:r>
        <w:rPr>
          <w:rFonts w:ascii="Times New Roman" w:eastAsia="Times New Roman" w:hAnsi="Times New Roman" w:cs="Times New Roman"/>
          <w:sz w:val="24"/>
          <w:szCs w:val="24"/>
          <w:lang w:eastAsia="pl-PL"/>
        </w:rPr>
        <w:t>.</w:t>
      </w:r>
    </w:p>
    <w:p w:rsidR="00CA6347" w:rsidRPr="00CA6347" w:rsidRDefault="00CA6347" w:rsidP="00CA6347">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Pojęcie i przesłanki odpowiedzialności podmiotu zbiorowego, przebieg postępowania, udział i uprawnienia prokuratora. Zwrot korzyści uzyskanych niesłusznie kosztem Skarbu Państwa.</w:t>
      </w:r>
    </w:p>
    <w:p w:rsidR="00CA6347" w:rsidRPr="00CA6347" w:rsidRDefault="00CA6347" w:rsidP="00CA6347">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Zwalczanie nieuczciwej konkurencji i nieuczciwych praktyk rynkowych</w:t>
      </w:r>
      <w:r>
        <w:rPr>
          <w:rFonts w:ascii="Times New Roman" w:eastAsia="Times New Roman" w:hAnsi="Times New Roman" w:cs="Times New Roman"/>
          <w:sz w:val="24"/>
          <w:szCs w:val="24"/>
          <w:lang w:eastAsia="pl-PL"/>
        </w:rPr>
        <w:t>.</w:t>
      </w:r>
    </w:p>
    <w:p w:rsidR="00CA6347" w:rsidRPr="00CA6347" w:rsidRDefault="00CA6347" w:rsidP="00CA6347">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Czyny nieuczciwej konkurencji, przesłanki odpowiedzialności cywilnej, przepisy karne (ujawnienie  i wykorzystanie tajemnicy przedsiębiorstwa, kopiowanie zewnętrznej postaci produktu, organizowanie i kierowanie sprzedażą lawinową, stosowanie agresywnych praktyk rynkowych, zarządzanie mieniem w systemie </w:t>
      </w:r>
      <w:proofErr w:type="spellStart"/>
      <w:r w:rsidRPr="00CA6347">
        <w:rPr>
          <w:rFonts w:ascii="Times New Roman" w:eastAsia="Times New Roman" w:hAnsi="Times New Roman" w:cs="Times New Roman"/>
          <w:sz w:val="24"/>
          <w:szCs w:val="24"/>
          <w:lang w:eastAsia="pl-PL"/>
        </w:rPr>
        <w:t>konsorcyjnym</w:t>
      </w:r>
      <w:proofErr w:type="spellEnd"/>
      <w:r w:rsidRPr="00CA6347">
        <w:rPr>
          <w:rFonts w:ascii="Times New Roman" w:eastAsia="Times New Roman" w:hAnsi="Times New Roman" w:cs="Times New Roman"/>
          <w:sz w:val="24"/>
          <w:szCs w:val="24"/>
          <w:lang w:eastAsia="pl-PL"/>
        </w:rPr>
        <w:t>). Ochrona konkurencji i konsumentów.</w:t>
      </w:r>
    </w:p>
    <w:p w:rsidR="00CA6347" w:rsidRPr="00CA6347" w:rsidRDefault="00CA6347" w:rsidP="00CA6347">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Prawo własności przemysłowej</w:t>
      </w:r>
    </w:p>
    <w:p w:rsidR="00CA6347" w:rsidRPr="00CA6347" w:rsidRDefault="00CA6347" w:rsidP="00CA6347">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Ochrona wynalazków, wzorów użytkowych, wzorów przemysłowych, oznaczeń geograficznych i znaków towarowych, przepisy karne. </w:t>
      </w:r>
    </w:p>
    <w:p w:rsidR="00CA6347" w:rsidRPr="00CA6347" w:rsidRDefault="00CA6347" w:rsidP="00CA6347">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Prawo autorskie i prawa pokrewne</w:t>
      </w:r>
    </w:p>
    <w:p w:rsidR="00CA6347" w:rsidRPr="00CA6347" w:rsidRDefault="00CA6347" w:rsidP="00CA6347">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Treść prawa autorskiego, uprawnienia osobiste  i majątkowe twórcy, pojęcie i rodzaje praw pokrewnych, licencje ustawowe i umowne, system ochrony praw autorskich i pokrewnych, organizacje zbiorowego zarządzania prawami autorskimi, przepisy karne. Ochrona usług świadczonych drogą elektroniczną. Ochrona usług opartych i polegających na dostępie warunkowym. </w:t>
      </w:r>
    </w:p>
    <w:p w:rsidR="00CA6347" w:rsidRPr="00CA6347" w:rsidRDefault="00CA6347" w:rsidP="00CA6347">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Celem praktyki jest udział w czynnościach postępowania przygotowawczego podejmowanych w sprawach objętych tematyką zjazdu, w tym sporządzanie wniosku prokuratora o </w:t>
      </w:r>
      <w:r>
        <w:rPr>
          <w:rFonts w:ascii="Times New Roman" w:eastAsia="Times New Roman" w:hAnsi="Times New Roman" w:cs="Times New Roman"/>
          <w:sz w:val="24"/>
          <w:szCs w:val="24"/>
          <w:lang w:eastAsia="pl-PL"/>
        </w:rPr>
        <w:t>stwierdzenie odpowiedzialności podmiotu zbiorowego</w:t>
      </w:r>
      <w:r w:rsidRPr="00CA6347">
        <w:rPr>
          <w:rFonts w:ascii="Times New Roman" w:eastAsia="Times New Roman" w:hAnsi="Times New Roman" w:cs="Times New Roman"/>
          <w:sz w:val="24"/>
          <w:szCs w:val="24"/>
          <w:lang w:eastAsia="pl-PL"/>
        </w:rPr>
        <w:t xml:space="preserve">. Aplikanci powinni także nabyć umiejętność odróżniania dozwolonych i niedozwolonych </w:t>
      </w:r>
      <w:proofErr w:type="spellStart"/>
      <w:r w:rsidRPr="00CA6347">
        <w:rPr>
          <w:rFonts w:ascii="Times New Roman" w:eastAsia="Times New Roman" w:hAnsi="Times New Roman" w:cs="Times New Roman"/>
          <w:sz w:val="24"/>
          <w:szCs w:val="24"/>
          <w:lang w:eastAsia="pl-PL"/>
        </w:rPr>
        <w:t>zachowań</w:t>
      </w:r>
      <w:proofErr w:type="spellEnd"/>
      <w:r w:rsidRPr="00CA6347">
        <w:rPr>
          <w:rFonts w:ascii="Times New Roman" w:eastAsia="Times New Roman" w:hAnsi="Times New Roman" w:cs="Times New Roman"/>
          <w:sz w:val="24"/>
          <w:szCs w:val="24"/>
          <w:lang w:eastAsia="pl-PL"/>
        </w:rPr>
        <w:t xml:space="preserve"> uczestników obrotu gospodarczego, a także gromadzenia i oceny dowodów w sprawach o przestępstwa gospodarcze.</w:t>
      </w:r>
    </w:p>
    <w:p w:rsidR="00B170A9" w:rsidRPr="00B170A9" w:rsidRDefault="00B170A9" w:rsidP="00B170A9">
      <w:pPr>
        <w:spacing w:after="0" w:line="360" w:lineRule="auto"/>
        <w:ind w:firstLine="708"/>
        <w:jc w:val="both"/>
        <w:rPr>
          <w:rFonts w:ascii="Times New Roman" w:eastAsia="Times New Roman" w:hAnsi="Times New Roman" w:cs="Times New Roman"/>
          <w:sz w:val="24"/>
          <w:szCs w:val="24"/>
          <w:lang w:eastAsia="pl-PL"/>
        </w:rPr>
      </w:pPr>
      <w:r w:rsidRPr="00B170A9">
        <w:rPr>
          <w:rFonts w:ascii="Times New Roman" w:eastAsia="Times New Roman" w:hAnsi="Times New Roman" w:cs="Times New Roman"/>
          <w:sz w:val="24"/>
          <w:szCs w:val="24"/>
          <w:lang w:eastAsia="pl-PL"/>
        </w:rPr>
        <w:t xml:space="preserve">Patroni praktyk winni zadbać, aby aplikanci w czasie praktyk mieli możliwość zapoznania się z praktyczną stroną pracy prokuratora w zakresie objętym tematyką zjazdu,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 xml:space="preserve">w szczególności gdy chodzi o metodykę prowadzenia postępowania karnego w sprawach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 xml:space="preserve">o wybrane przestępstwa gospodarcze. Podczas praktyk należy umożliwić aplikantom dokonywanie analizy różnorodnych stanów faktycznych i prawnych na podstawie akt. </w:t>
      </w:r>
      <w:r w:rsidR="00FF10CA">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W zakresie tym aplikanci powinni:</w:t>
      </w:r>
    </w:p>
    <w:p w:rsidR="00B170A9" w:rsidRPr="00B170A9" w:rsidRDefault="00B170A9" w:rsidP="00B170A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170A9">
        <w:rPr>
          <w:rFonts w:ascii="Times New Roman" w:eastAsia="Times New Roman" w:hAnsi="Times New Roman" w:cs="Times New Roman"/>
          <w:sz w:val="24"/>
          <w:szCs w:val="24"/>
          <w:lang w:eastAsia="pl-PL"/>
        </w:rPr>
        <w:t>oceniać i omawiać z patronem metodykę prowadzenia postępowania, a w tym także potrzebę i kierunek uzupełnienia materiału dowodowego;</w:t>
      </w:r>
    </w:p>
    <w:p w:rsidR="00B170A9" w:rsidRDefault="00B170A9" w:rsidP="00B170A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Pr="00B170A9">
        <w:rPr>
          <w:rFonts w:ascii="Times New Roman" w:eastAsia="Times New Roman" w:hAnsi="Times New Roman" w:cs="Times New Roman"/>
          <w:sz w:val="24"/>
          <w:szCs w:val="24"/>
          <w:lang w:eastAsia="pl-PL"/>
        </w:rPr>
        <w:t>sporządzać projekty incydentalnych decyzji procesowych (np. dot. środków zapobiegawczych, dowodów rzeczowych, przeszukania, zabezpieczenia majątkowego</w:t>
      </w:r>
      <w:r>
        <w:rPr>
          <w:rFonts w:ascii="Times New Roman" w:eastAsia="Times New Roman" w:hAnsi="Times New Roman" w:cs="Times New Roman"/>
          <w:sz w:val="24"/>
          <w:szCs w:val="24"/>
          <w:lang w:eastAsia="pl-PL"/>
        </w:rPr>
        <w:t>, postanowień o zwolnieniu z tajemnicy bankowej</w:t>
      </w:r>
      <w:r w:rsidRPr="00B170A9">
        <w:rPr>
          <w:rFonts w:ascii="Times New Roman" w:eastAsia="Times New Roman" w:hAnsi="Times New Roman" w:cs="Times New Roman"/>
          <w:sz w:val="24"/>
          <w:szCs w:val="24"/>
          <w:lang w:eastAsia="pl-PL"/>
        </w:rPr>
        <w:t xml:space="preserve"> itp.), a także środków zaskarżenia od decyzji sądowych wydawanych w toku postępowanie przygotowawczego;</w:t>
      </w:r>
    </w:p>
    <w:p w:rsidR="00B170A9" w:rsidRPr="00B170A9" w:rsidRDefault="00B170A9" w:rsidP="00B170A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sporządzać wniosków</w:t>
      </w:r>
      <w:r w:rsidRPr="00B170A9">
        <w:t xml:space="preserve"> </w:t>
      </w:r>
      <w:r w:rsidRPr="00B170A9">
        <w:rPr>
          <w:rFonts w:ascii="Times New Roman" w:eastAsia="Times New Roman" w:hAnsi="Times New Roman" w:cs="Times New Roman"/>
          <w:sz w:val="24"/>
          <w:szCs w:val="24"/>
          <w:lang w:eastAsia="pl-PL"/>
        </w:rPr>
        <w:t>o stwierdzenie odpowiedzialności podmiotu zbiorowego</w:t>
      </w:r>
      <w:r>
        <w:rPr>
          <w:rFonts w:ascii="Times New Roman" w:eastAsia="Times New Roman" w:hAnsi="Times New Roman" w:cs="Times New Roman"/>
          <w:sz w:val="24"/>
          <w:szCs w:val="24"/>
          <w:lang w:eastAsia="pl-PL"/>
        </w:rPr>
        <w:t xml:space="preserve">; </w:t>
      </w:r>
    </w:p>
    <w:p w:rsidR="00B170A9" w:rsidRDefault="00B170A9" w:rsidP="00B170A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170A9">
        <w:rPr>
          <w:rFonts w:ascii="Times New Roman" w:eastAsia="Times New Roman" w:hAnsi="Times New Roman" w:cs="Times New Roman"/>
          <w:sz w:val="24"/>
          <w:szCs w:val="24"/>
          <w:lang w:eastAsia="pl-PL"/>
        </w:rPr>
        <w:t xml:space="preserve">oceniać zebrany materiał dowodowy pod kątem podjęcia decyzji kończącej postępowanie,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 xml:space="preserve">a następnie sporządzać projekty takich decyzji (ważne jest zwłaszcza rozwijanie umiejętności oceny, czy w konkretnych sytuacjach należy sporządzić akt oskarżenia, wniosek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o warunkowe umorzenie postępowania</w:t>
      </w:r>
      <w:r>
        <w:rPr>
          <w:rFonts w:ascii="Times New Roman" w:eastAsia="Times New Roman" w:hAnsi="Times New Roman" w:cs="Times New Roman"/>
          <w:sz w:val="24"/>
          <w:szCs w:val="24"/>
          <w:lang w:eastAsia="pl-PL"/>
        </w:rPr>
        <w:t>, czy też postępowanie umorzyć).</w:t>
      </w:r>
    </w:p>
    <w:p w:rsidR="001B576B" w:rsidRPr="001B576B" w:rsidRDefault="001B576B" w:rsidP="001B576B">
      <w:pPr>
        <w:spacing w:after="0" w:line="360" w:lineRule="auto"/>
        <w:ind w:firstLine="708"/>
        <w:jc w:val="both"/>
        <w:rPr>
          <w:rFonts w:ascii="Times New Roman" w:eastAsia="Times New Roman" w:hAnsi="Times New Roman" w:cs="Times New Roman"/>
          <w:sz w:val="24"/>
          <w:szCs w:val="24"/>
          <w:lang w:eastAsia="pl-PL"/>
        </w:rPr>
      </w:pPr>
      <w:r w:rsidRPr="001B576B">
        <w:rPr>
          <w:rFonts w:ascii="Times New Roman" w:hAnsi="Times New Roman" w:cs="Times New Roman"/>
          <w:kern w:val="144"/>
          <w:sz w:val="24"/>
          <w:szCs w:val="24"/>
        </w:rPr>
        <w:t xml:space="preserve">W odniesieniu do problematyki Prawa wekslowego (ustawa z dnia 28 kwietnia 1936 r., Dz. U. 2016, poz. 160) należy przede wszystkim wykorzystać akta spraw </w:t>
      </w:r>
      <w:bookmarkStart w:id="0" w:name="_GoBack"/>
      <w:r w:rsidRPr="001B576B">
        <w:rPr>
          <w:rFonts w:ascii="Times New Roman" w:hAnsi="Times New Roman" w:cs="Times New Roman"/>
          <w:kern w:val="144"/>
          <w:sz w:val="24"/>
          <w:szCs w:val="24"/>
        </w:rPr>
        <w:t>o czyny z art. 270 § 2 k.k. oraz 286 § 1 k.k., a także 284 § 1 k.k., w których weksel stanowił przedmiot czynności wykonawczej, względnie był przedmiotem służącym do popełnienia przestępstwa</w:t>
      </w:r>
      <w:bookmarkEnd w:id="0"/>
      <w:r w:rsidRPr="001B576B">
        <w:rPr>
          <w:rFonts w:ascii="Times New Roman" w:hAnsi="Times New Roman" w:cs="Times New Roman"/>
          <w:kern w:val="144"/>
          <w:sz w:val="24"/>
          <w:szCs w:val="24"/>
        </w:rPr>
        <w:t>.</w:t>
      </w:r>
    </w:p>
    <w:p w:rsidR="00B170A9" w:rsidRDefault="00B170A9" w:rsidP="00B170A9">
      <w:pPr>
        <w:spacing w:after="0" w:line="360" w:lineRule="auto"/>
        <w:jc w:val="both"/>
        <w:rPr>
          <w:rFonts w:ascii="Times New Roman" w:eastAsia="Times New Roman" w:hAnsi="Times New Roman" w:cs="Times New Roman"/>
          <w:sz w:val="24"/>
          <w:szCs w:val="24"/>
          <w:lang w:eastAsia="pl-PL"/>
        </w:rPr>
      </w:pPr>
    </w:p>
    <w:p w:rsidR="00CA6347" w:rsidRPr="00CA6347" w:rsidRDefault="00CA6347" w:rsidP="00B170A9">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Aplikanci powinni mieć także możliwość zapoznania się z trybem postępowania prokuratora w przedmiocie wniosku o zwolni</w:t>
      </w:r>
      <w:r w:rsidR="00B170A9">
        <w:rPr>
          <w:rFonts w:ascii="Times New Roman" w:eastAsia="Times New Roman" w:hAnsi="Times New Roman" w:cs="Times New Roman"/>
          <w:sz w:val="24"/>
          <w:szCs w:val="24"/>
          <w:lang w:eastAsia="pl-PL"/>
        </w:rPr>
        <w:t xml:space="preserve">enie z tajemnicy bankowej oraz </w:t>
      </w:r>
      <w:r w:rsidRPr="00CA6347">
        <w:rPr>
          <w:rFonts w:ascii="Times New Roman" w:eastAsia="Times New Roman" w:hAnsi="Times New Roman" w:cs="Times New Roman"/>
          <w:sz w:val="24"/>
          <w:szCs w:val="24"/>
          <w:lang w:eastAsia="pl-PL"/>
        </w:rPr>
        <w:t xml:space="preserve">z postanowieniami </w:t>
      </w:r>
      <w:r w:rsidR="00FF10CA">
        <w:rPr>
          <w:rFonts w:ascii="Times New Roman" w:eastAsia="Times New Roman" w:hAnsi="Times New Roman" w:cs="Times New Roman"/>
          <w:sz w:val="24"/>
          <w:szCs w:val="24"/>
          <w:lang w:eastAsia="pl-PL"/>
        </w:rPr>
        <w:br/>
      </w:r>
      <w:r w:rsidRPr="00CA6347">
        <w:rPr>
          <w:rFonts w:ascii="Times New Roman" w:eastAsia="Times New Roman" w:hAnsi="Times New Roman" w:cs="Times New Roman"/>
          <w:sz w:val="24"/>
          <w:szCs w:val="24"/>
          <w:lang w:eastAsia="pl-PL"/>
        </w:rPr>
        <w:t>o wstrzymaniu transakcji oraz dokonaniu blokady środków na rachunku bankowym na czas oznaczony, na podstawie przepisów ustawy z dnia 29 sierpnia 1997 r. Prawo bankowe (Dz. U. 2017, poz. 1876), a także z postępowaniami prowadzo</w:t>
      </w:r>
      <w:r w:rsidR="00B170A9">
        <w:rPr>
          <w:rFonts w:ascii="Times New Roman" w:eastAsia="Times New Roman" w:hAnsi="Times New Roman" w:cs="Times New Roman"/>
          <w:sz w:val="24"/>
          <w:szCs w:val="24"/>
          <w:lang w:eastAsia="pl-PL"/>
        </w:rPr>
        <w:t>nymi</w:t>
      </w:r>
      <w:r w:rsidRPr="00CA6347">
        <w:rPr>
          <w:rFonts w:ascii="Times New Roman" w:eastAsia="Times New Roman" w:hAnsi="Times New Roman" w:cs="Times New Roman"/>
          <w:sz w:val="24"/>
          <w:szCs w:val="24"/>
          <w:lang w:eastAsia="pl-PL"/>
        </w:rPr>
        <w:t xml:space="preserve"> o przestępstwa wymienione we wskazanej ustawie.</w:t>
      </w:r>
    </w:p>
    <w:p w:rsidR="00CA6347" w:rsidRPr="00CA6347" w:rsidRDefault="00CA6347" w:rsidP="00CA6347">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                          </w:t>
      </w:r>
    </w:p>
    <w:p w:rsidR="00CA6347" w:rsidRPr="00CA6347" w:rsidRDefault="00CA6347" w:rsidP="00B170A9">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Powyższe nie wyklucza powierzania aplikantom również innych zadań wynikających z normalnego toku pracy prokuratorskiej – zwłaszcza takich, z którymi dotychczas jeszcze się nie zetknęli. Zadania te jednak mogą mieć wyłącznie charakter uzupełniający 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rsidR="00CA6347" w:rsidRPr="00CA6347" w:rsidRDefault="00CA6347" w:rsidP="00CA6347">
      <w:pPr>
        <w:spacing w:after="0" w:line="240" w:lineRule="auto"/>
        <w:rPr>
          <w:rFonts w:ascii="Times New Roman" w:eastAsia="Times New Roman" w:hAnsi="Times New Roman" w:cs="Times New Roman"/>
          <w:sz w:val="24"/>
          <w:szCs w:val="24"/>
          <w:lang w:eastAsia="pl-PL"/>
        </w:rPr>
      </w:pPr>
    </w:p>
    <w:p w:rsidR="00CA6347" w:rsidRPr="00CA6347" w:rsidRDefault="00CA6347" w:rsidP="00CA6347">
      <w:pPr>
        <w:spacing w:after="0" w:line="360" w:lineRule="auto"/>
        <w:ind w:left="3540"/>
        <w:jc w:val="center"/>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lastRenderedPageBreak/>
        <w:t>Kierownik Działu Dydaktycznego</w:t>
      </w:r>
      <w:r w:rsidRPr="00CA6347">
        <w:rPr>
          <w:rFonts w:ascii="Times New Roman" w:eastAsia="Times New Roman" w:hAnsi="Times New Roman" w:cs="Times New Roman"/>
          <w:sz w:val="24"/>
          <w:szCs w:val="24"/>
          <w:lang w:eastAsia="pl-PL"/>
        </w:rPr>
        <w:br/>
        <w:t>Ośrodka Aplikacji Prokuratorskiej</w:t>
      </w:r>
      <w:r w:rsidRPr="00CA6347">
        <w:rPr>
          <w:rFonts w:ascii="Times New Roman" w:eastAsia="Times New Roman" w:hAnsi="Times New Roman" w:cs="Times New Roman"/>
          <w:sz w:val="24"/>
          <w:szCs w:val="24"/>
          <w:lang w:eastAsia="pl-PL"/>
        </w:rPr>
        <w:br/>
        <w:t>Krajowej Szkoły Sądownictwa i Prokuratury</w:t>
      </w:r>
    </w:p>
    <w:p w:rsidR="00CA6347" w:rsidRPr="00CA6347" w:rsidRDefault="00CA6347" w:rsidP="00CA6347">
      <w:pPr>
        <w:spacing w:after="0" w:line="360" w:lineRule="auto"/>
        <w:ind w:left="3540"/>
        <w:jc w:val="center"/>
        <w:rPr>
          <w:rFonts w:ascii="Times New Roman" w:eastAsia="Times New Roman" w:hAnsi="Times New Roman" w:cs="Times New Roman"/>
          <w:sz w:val="24"/>
          <w:szCs w:val="24"/>
          <w:lang w:eastAsia="pl-PL"/>
        </w:rPr>
      </w:pPr>
    </w:p>
    <w:p w:rsidR="00CA6347" w:rsidRPr="00CA6347" w:rsidRDefault="00CA6347" w:rsidP="00CA6347">
      <w:pPr>
        <w:spacing w:after="0" w:line="360" w:lineRule="auto"/>
        <w:ind w:left="3538"/>
        <w:jc w:val="center"/>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Marta Zin</w:t>
      </w:r>
    </w:p>
    <w:p w:rsidR="0051398F" w:rsidRDefault="00CA6347" w:rsidP="00B170A9">
      <w:pPr>
        <w:spacing w:after="0" w:line="360" w:lineRule="auto"/>
        <w:ind w:left="3540"/>
        <w:jc w:val="center"/>
      </w:pPr>
      <w:r w:rsidRPr="00CA6347">
        <w:rPr>
          <w:rFonts w:ascii="Times New Roman" w:eastAsia="Times New Roman" w:hAnsi="Times New Roman" w:cs="Times New Roman"/>
          <w:sz w:val="24"/>
          <w:szCs w:val="24"/>
          <w:lang w:eastAsia="pl-PL"/>
        </w:rPr>
        <w:t xml:space="preserve">prokurator  </w:t>
      </w:r>
    </w:p>
    <w:sectPr w:rsidR="0051398F" w:rsidSect="00AE33FA">
      <w:headerReference w:type="default" r:id="rId8"/>
      <w:footerReference w:type="default" r:id="rId9"/>
      <w:headerReference w:type="first" r:id="rId10"/>
      <w:footerReference w:type="first" r:id="rId11"/>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CB" w:rsidRDefault="00AF53CB">
      <w:pPr>
        <w:spacing w:after="0" w:line="240" w:lineRule="auto"/>
      </w:pPr>
      <w:r>
        <w:separator/>
      </w:r>
    </w:p>
  </w:endnote>
  <w:endnote w:type="continuationSeparator" w:id="0">
    <w:p w:rsidR="00AF53CB" w:rsidRDefault="00AF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CA6347">
    <w:pPr>
      <w:pStyle w:val="Stopka"/>
    </w:pPr>
    <w:r>
      <w:fldChar w:fldCharType="begin"/>
    </w:r>
    <w:r>
      <w:instrText xml:space="preserve"> PAGE   \* MERGEFORMAT </w:instrText>
    </w:r>
    <w:r>
      <w:fldChar w:fldCharType="separate"/>
    </w:r>
    <w:r w:rsidR="001B576B">
      <w:rPr>
        <w:noProof/>
      </w:rPr>
      <w:t>3</w:t>
    </w:r>
    <w:r>
      <w:rPr>
        <w:noProof/>
      </w:rPr>
      <w:fldChar w:fldCharType="end"/>
    </w:r>
  </w:p>
  <w:p w:rsidR="00AE33FA" w:rsidRDefault="00AF53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AE33FA" w:rsidTr="00AE33FA">
      <w:trPr>
        <w:trHeight w:val="23"/>
      </w:trPr>
      <w:tc>
        <w:tcPr>
          <w:tcW w:w="5099" w:type="dxa"/>
          <w:tcBorders>
            <w:top w:val="thinThickSmallGap" w:sz="12" w:space="0" w:color="auto"/>
          </w:tcBorders>
        </w:tcPr>
        <w:p w:rsidR="00AE33FA" w:rsidRPr="0074505E" w:rsidRDefault="00AF53CB" w:rsidP="00AE33FA">
          <w:pPr>
            <w:pStyle w:val="Stopka"/>
            <w:rPr>
              <w:sz w:val="4"/>
              <w:szCs w:val="4"/>
            </w:rPr>
          </w:pPr>
        </w:p>
      </w:tc>
    </w:tr>
  </w:tbl>
  <w:p w:rsidR="00AE33FA" w:rsidRPr="00A944C8" w:rsidRDefault="00CA6347" w:rsidP="00BE73A4">
    <w:pPr>
      <w:pStyle w:val="Stopka"/>
      <w:jc w:val="center"/>
      <w:rPr>
        <w:sz w:val="18"/>
        <w:szCs w:val="18"/>
      </w:rPr>
    </w:pPr>
    <w:r w:rsidRPr="00A944C8">
      <w:rPr>
        <w:sz w:val="18"/>
        <w:szCs w:val="18"/>
      </w:rPr>
      <w:t>Krajowa Szkoła Sądownictwa i Prokuratury</w:t>
    </w:r>
  </w:p>
  <w:p w:rsidR="00AE33FA" w:rsidRPr="00A944C8" w:rsidRDefault="00CA6347" w:rsidP="00BE73A4">
    <w:pPr>
      <w:pStyle w:val="Stopka"/>
      <w:jc w:val="center"/>
      <w:rPr>
        <w:sz w:val="18"/>
        <w:szCs w:val="18"/>
      </w:rPr>
    </w:pPr>
    <w:r w:rsidRPr="00A944C8">
      <w:rPr>
        <w:sz w:val="18"/>
        <w:szCs w:val="18"/>
      </w:rPr>
      <w:t>ul. Przy Rondzie 5, 31-547 Kraków</w:t>
    </w:r>
  </w:p>
  <w:p w:rsidR="00AE33FA" w:rsidRDefault="00AF53CB" w:rsidP="00BE73A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CB" w:rsidRDefault="00AF53CB">
      <w:pPr>
        <w:spacing w:after="0" w:line="240" w:lineRule="auto"/>
      </w:pPr>
      <w:r>
        <w:separator/>
      </w:r>
    </w:p>
  </w:footnote>
  <w:footnote w:type="continuationSeparator" w:id="0">
    <w:p w:rsidR="00AF53CB" w:rsidRDefault="00AF5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Pr="009B38B3" w:rsidRDefault="00CA6347" w:rsidP="00AE33FA">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CA6347" w:rsidP="00AE33FA">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lang w:eastAsia="pl-PL"/>
      </w:rPr>
      <w:drawing>
        <wp:anchor distT="0" distB="0" distL="114300" distR="114300" simplePos="0" relativeHeight="251659264" behindDoc="0" locked="0" layoutInCell="1" allowOverlap="1" wp14:anchorId="3EC493CB" wp14:editId="1666B73A">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AE33FA" w:rsidRDefault="00AF53CB" w:rsidP="00AE33FA">
    <w:pPr>
      <w:pStyle w:val="Nagwek"/>
      <w:ind w:right="4959"/>
      <w:jc w:val="center"/>
      <w:rPr>
        <w:b/>
      </w:rPr>
    </w:pPr>
  </w:p>
  <w:p w:rsidR="00AE33FA" w:rsidRPr="009E7ADE" w:rsidRDefault="00AF53CB" w:rsidP="00AE33FA">
    <w:pPr>
      <w:pStyle w:val="Nagwek"/>
      <w:ind w:left="-851" w:right="5526"/>
      <w:jc w:val="center"/>
      <w:rPr>
        <w:b/>
        <w:sz w:val="8"/>
        <w:szCs w:val="8"/>
      </w:rPr>
    </w:pPr>
  </w:p>
  <w:p w:rsidR="00AE33FA" w:rsidRPr="00551ABF" w:rsidRDefault="00CA6347" w:rsidP="00AE33FA">
    <w:pPr>
      <w:pStyle w:val="Nagwek"/>
      <w:ind w:left="-851" w:right="5526"/>
      <w:jc w:val="center"/>
      <w:rPr>
        <w:b/>
      </w:rPr>
    </w:pPr>
    <w:r w:rsidRPr="00551ABF">
      <w:rPr>
        <w:b/>
      </w:rPr>
      <w:t>KRAJOW</w:t>
    </w:r>
    <w:r>
      <w:rPr>
        <w:b/>
      </w:rPr>
      <w:t>A</w:t>
    </w:r>
    <w:r w:rsidRPr="00551ABF">
      <w:rPr>
        <w:b/>
      </w:rPr>
      <w:t xml:space="preserve"> SZKOŁ</w:t>
    </w:r>
    <w:r>
      <w:rPr>
        <w:b/>
      </w:rPr>
      <w:t>A</w:t>
    </w:r>
  </w:p>
  <w:p w:rsidR="00AE33FA" w:rsidRPr="00D021CB" w:rsidRDefault="00CA6347" w:rsidP="00AE33FA">
    <w:pPr>
      <w:pStyle w:val="Nagwek"/>
      <w:ind w:left="-851" w:right="5526"/>
      <w:jc w:val="center"/>
      <w:rPr>
        <w:b/>
      </w:rPr>
    </w:pPr>
    <w:r w:rsidRPr="00D021CB">
      <w:rPr>
        <w:b/>
      </w:rPr>
      <w:t>SĄDOWNICTWA I PROKURATURY</w:t>
    </w:r>
  </w:p>
  <w:p w:rsidR="00AE33FA" w:rsidRPr="004F17DC" w:rsidRDefault="00AF53CB" w:rsidP="00AE33FA">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51A2"/>
    <w:multiLevelType w:val="hybridMultilevel"/>
    <w:tmpl w:val="8E281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2B00A6F"/>
    <w:multiLevelType w:val="hybridMultilevel"/>
    <w:tmpl w:val="6FF8F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47"/>
    <w:rsid w:val="001B576B"/>
    <w:rsid w:val="0051398F"/>
    <w:rsid w:val="00AF53CB"/>
    <w:rsid w:val="00B170A9"/>
    <w:rsid w:val="00CA6347"/>
    <w:rsid w:val="00FF1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A63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A6347"/>
  </w:style>
  <w:style w:type="paragraph" w:styleId="Stopka">
    <w:name w:val="footer"/>
    <w:basedOn w:val="Normalny"/>
    <w:link w:val="StopkaZnak"/>
    <w:uiPriority w:val="99"/>
    <w:unhideWhenUsed/>
    <w:rsid w:val="00CA6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347"/>
  </w:style>
  <w:style w:type="paragraph" w:styleId="Akapitzlist">
    <w:name w:val="List Paragraph"/>
    <w:basedOn w:val="Normalny"/>
    <w:uiPriority w:val="34"/>
    <w:qFormat/>
    <w:rsid w:val="00CA6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A63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A6347"/>
  </w:style>
  <w:style w:type="paragraph" w:styleId="Stopka">
    <w:name w:val="footer"/>
    <w:basedOn w:val="Normalny"/>
    <w:link w:val="StopkaZnak"/>
    <w:uiPriority w:val="99"/>
    <w:unhideWhenUsed/>
    <w:rsid w:val="00CA6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347"/>
  </w:style>
  <w:style w:type="paragraph" w:styleId="Akapitzlist">
    <w:name w:val="List Paragraph"/>
    <w:basedOn w:val="Normalny"/>
    <w:uiPriority w:val="34"/>
    <w:qFormat/>
    <w:rsid w:val="00CA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905</Words>
  <Characters>5432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4</cp:revision>
  <dcterms:created xsi:type="dcterms:W3CDTF">2020-07-14T12:42:00Z</dcterms:created>
  <dcterms:modified xsi:type="dcterms:W3CDTF">2020-07-14T13:00:00Z</dcterms:modified>
</cp:coreProperties>
</file>