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4BE286" w14:textId="77777777" w:rsidR="00A24D29" w:rsidRPr="00E61894" w:rsidRDefault="00A24D29" w:rsidP="007C3A8C">
      <w:pPr>
        <w:pStyle w:val="Nagwek"/>
        <w:tabs>
          <w:tab w:val="clear" w:pos="4536"/>
          <w:tab w:val="clear" w:pos="9072"/>
          <w:tab w:val="right" w:pos="5103"/>
          <w:tab w:val="left" w:pos="10527"/>
        </w:tabs>
        <w:ind w:left="-851" w:right="5526"/>
        <w:rPr>
          <w:spacing w:val="20"/>
          <w:sz w:val="23"/>
          <w:szCs w:val="23"/>
        </w:rPr>
      </w:pPr>
      <w:bookmarkStart w:id="0" w:name="_GoBack"/>
      <w:bookmarkEnd w:id="0"/>
    </w:p>
    <w:p w14:paraId="5F3F9ECD" w14:textId="107F50D0" w:rsidR="007C3A8C" w:rsidRPr="00E61894" w:rsidRDefault="007C3A8C" w:rsidP="007C3A8C">
      <w:pPr>
        <w:pStyle w:val="Nagwek"/>
        <w:tabs>
          <w:tab w:val="clear" w:pos="4536"/>
          <w:tab w:val="clear" w:pos="9072"/>
          <w:tab w:val="right" w:pos="5103"/>
          <w:tab w:val="left" w:pos="10527"/>
        </w:tabs>
        <w:ind w:left="-851" w:right="5526"/>
        <w:rPr>
          <w:spacing w:val="20"/>
          <w:sz w:val="23"/>
          <w:szCs w:val="23"/>
        </w:rPr>
      </w:pPr>
      <w:r w:rsidRPr="00E61894">
        <w:rPr>
          <w:noProof/>
          <w:sz w:val="23"/>
          <w:szCs w:val="23"/>
        </w:rPr>
        <w:drawing>
          <wp:anchor distT="0" distB="0" distL="114300" distR="114300" simplePos="0" relativeHeight="251659264" behindDoc="0" locked="0" layoutInCell="1" allowOverlap="1" wp14:anchorId="2DCFCCF7" wp14:editId="17F6DA1A">
            <wp:simplePos x="0" y="0"/>
            <wp:positionH relativeFrom="column">
              <wp:posOffset>699135</wp:posOffset>
            </wp:positionH>
            <wp:positionV relativeFrom="paragraph">
              <wp:posOffset>-43815</wp:posOffset>
            </wp:positionV>
            <wp:extent cx="504825" cy="476250"/>
            <wp:effectExtent l="0" t="0" r="952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1894">
        <w:rPr>
          <w:spacing w:val="20"/>
          <w:sz w:val="23"/>
          <w:szCs w:val="23"/>
        </w:rPr>
        <w:t xml:space="preserve"> </w:t>
      </w:r>
    </w:p>
    <w:p w14:paraId="26BC11B7" w14:textId="77777777" w:rsidR="007C3A8C" w:rsidRPr="00E61894" w:rsidRDefault="007C3A8C" w:rsidP="007C3A8C">
      <w:pPr>
        <w:pStyle w:val="Nagwek"/>
        <w:ind w:right="4959"/>
        <w:jc w:val="center"/>
        <w:rPr>
          <w:b/>
          <w:sz w:val="23"/>
          <w:szCs w:val="23"/>
        </w:rPr>
      </w:pPr>
    </w:p>
    <w:p w14:paraId="18006948" w14:textId="77777777" w:rsidR="007C3A8C" w:rsidRPr="00E61894" w:rsidRDefault="007C3A8C" w:rsidP="007C3A8C">
      <w:pPr>
        <w:pStyle w:val="Nagwek"/>
        <w:ind w:left="-851" w:right="5526"/>
        <w:jc w:val="center"/>
        <w:rPr>
          <w:b/>
          <w:sz w:val="23"/>
          <w:szCs w:val="23"/>
        </w:rPr>
      </w:pPr>
    </w:p>
    <w:p w14:paraId="62D3B3CA" w14:textId="77777777" w:rsidR="007C3A8C" w:rsidRPr="00E61894" w:rsidRDefault="007C3A8C" w:rsidP="007C3A8C">
      <w:pPr>
        <w:pStyle w:val="Nagwek"/>
        <w:ind w:left="-851" w:right="5526"/>
        <w:jc w:val="center"/>
        <w:rPr>
          <w:b/>
          <w:sz w:val="23"/>
          <w:szCs w:val="23"/>
        </w:rPr>
      </w:pPr>
      <w:r w:rsidRPr="00E61894">
        <w:rPr>
          <w:b/>
          <w:sz w:val="23"/>
          <w:szCs w:val="23"/>
        </w:rPr>
        <w:t>KRAJOWA SZKOŁA</w:t>
      </w:r>
    </w:p>
    <w:p w14:paraId="6EA534E8" w14:textId="77777777" w:rsidR="007C3A8C" w:rsidRPr="00E61894" w:rsidRDefault="007C3A8C" w:rsidP="007C3A8C">
      <w:pPr>
        <w:pStyle w:val="Nagwek"/>
        <w:ind w:left="-851" w:right="5526"/>
        <w:jc w:val="center"/>
        <w:rPr>
          <w:b/>
          <w:sz w:val="23"/>
          <w:szCs w:val="23"/>
        </w:rPr>
      </w:pPr>
      <w:r w:rsidRPr="00E61894">
        <w:rPr>
          <w:b/>
          <w:sz w:val="23"/>
          <w:szCs w:val="23"/>
        </w:rPr>
        <w:t xml:space="preserve"> SĄDOWNICTWA I PROKURATURY</w:t>
      </w:r>
    </w:p>
    <w:p w14:paraId="52EB9108" w14:textId="77777777" w:rsidR="007C3A8C" w:rsidRPr="00E61894" w:rsidRDefault="007C3A8C" w:rsidP="007C3A8C">
      <w:pPr>
        <w:pStyle w:val="Nagwek"/>
        <w:ind w:right="4392" w:hanging="283"/>
        <w:rPr>
          <w:b/>
          <w:sz w:val="23"/>
          <w:szCs w:val="23"/>
        </w:rPr>
      </w:pPr>
    </w:p>
    <w:p w14:paraId="3227B759" w14:textId="5899FC85" w:rsidR="007C3A8C" w:rsidRPr="00E61894" w:rsidRDefault="007C3A8C" w:rsidP="007C3A8C">
      <w:pPr>
        <w:jc w:val="right"/>
        <w:rPr>
          <w:rFonts w:ascii="Times New Roman" w:hAnsi="Times New Roman"/>
          <w:sz w:val="23"/>
          <w:szCs w:val="23"/>
        </w:rPr>
      </w:pPr>
      <w:r w:rsidRPr="00E61894">
        <w:rPr>
          <w:rFonts w:ascii="Times New Roman" w:hAnsi="Times New Roman"/>
          <w:sz w:val="23"/>
          <w:szCs w:val="23"/>
        </w:rPr>
        <w:t xml:space="preserve">Kraków, dnia </w:t>
      </w:r>
      <w:r w:rsidR="00847DED" w:rsidRPr="00E61894">
        <w:rPr>
          <w:rFonts w:ascii="Times New Roman" w:hAnsi="Times New Roman"/>
          <w:sz w:val="23"/>
          <w:szCs w:val="23"/>
        </w:rPr>
        <w:t>1</w:t>
      </w:r>
      <w:r w:rsidR="00F3691A" w:rsidRPr="00E61894">
        <w:rPr>
          <w:rFonts w:ascii="Times New Roman" w:hAnsi="Times New Roman"/>
          <w:sz w:val="23"/>
          <w:szCs w:val="23"/>
        </w:rPr>
        <w:t>9</w:t>
      </w:r>
      <w:r w:rsidR="00225EE4" w:rsidRPr="00E61894">
        <w:rPr>
          <w:rFonts w:ascii="Times New Roman" w:hAnsi="Times New Roman"/>
          <w:sz w:val="23"/>
          <w:szCs w:val="23"/>
        </w:rPr>
        <w:t xml:space="preserve"> </w:t>
      </w:r>
      <w:r w:rsidR="000D592A" w:rsidRPr="00E61894">
        <w:rPr>
          <w:rFonts w:ascii="Times New Roman" w:hAnsi="Times New Roman"/>
          <w:sz w:val="23"/>
          <w:szCs w:val="23"/>
        </w:rPr>
        <w:t>listopada</w:t>
      </w:r>
      <w:r w:rsidRPr="00E61894">
        <w:rPr>
          <w:rFonts w:ascii="Times New Roman" w:hAnsi="Times New Roman"/>
          <w:sz w:val="23"/>
          <w:szCs w:val="23"/>
        </w:rPr>
        <w:t xml:space="preserve"> 2020 roku.</w:t>
      </w:r>
    </w:p>
    <w:p w14:paraId="38B1AA33" w14:textId="523ECC9C" w:rsidR="007C3A8C" w:rsidRPr="00E61894" w:rsidRDefault="00F3691A" w:rsidP="007C3A8C">
      <w:pPr>
        <w:jc w:val="both"/>
        <w:rPr>
          <w:rFonts w:ascii="Times New Roman" w:hAnsi="Times New Roman"/>
          <w:b/>
          <w:sz w:val="23"/>
          <w:szCs w:val="23"/>
        </w:rPr>
      </w:pPr>
      <w:r w:rsidRPr="00E61894">
        <w:rPr>
          <w:rFonts w:ascii="Times New Roman" w:hAnsi="Times New Roman"/>
          <w:b/>
          <w:sz w:val="23"/>
          <w:szCs w:val="23"/>
        </w:rPr>
        <w:t>OAS-II.420.41.2020</w:t>
      </w:r>
      <w:r w:rsidR="007C3A8C" w:rsidRPr="00E61894">
        <w:rPr>
          <w:rFonts w:ascii="Times New Roman" w:hAnsi="Times New Roman"/>
          <w:b/>
          <w:sz w:val="23"/>
          <w:szCs w:val="23"/>
        </w:rPr>
        <w:t xml:space="preserve"> </w:t>
      </w:r>
    </w:p>
    <w:p w14:paraId="12DB2A57" w14:textId="6B48DABF" w:rsidR="007C3A8C" w:rsidRPr="00E61894" w:rsidRDefault="007C3A8C" w:rsidP="007C3A8C">
      <w:pPr>
        <w:jc w:val="both"/>
        <w:rPr>
          <w:rFonts w:ascii="Times New Roman" w:hAnsi="Times New Roman"/>
          <w:i/>
          <w:sz w:val="23"/>
          <w:szCs w:val="23"/>
        </w:rPr>
      </w:pPr>
      <w:r w:rsidRPr="00E61894">
        <w:rPr>
          <w:rFonts w:ascii="Times New Roman" w:hAnsi="Times New Roman"/>
          <w:i/>
          <w:sz w:val="23"/>
          <w:szCs w:val="23"/>
        </w:rPr>
        <w:t>Dot. praktyk aplikantów dziewiątego roczni</w:t>
      </w:r>
      <w:r w:rsidR="00374436" w:rsidRPr="00E61894">
        <w:rPr>
          <w:rFonts w:ascii="Times New Roman" w:hAnsi="Times New Roman"/>
          <w:i/>
          <w:sz w:val="23"/>
          <w:szCs w:val="23"/>
        </w:rPr>
        <w:t>ka aplikacji sędziowskiej po XX</w:t>
      </w:r>
      <w:r w:rsidR="00C32AE5" w:rsidRPr="00E61894">
        <w:rPr>
          <w:rFonts w:ascii="Times New Roman" w:hAnsi="Times New Roman"/>
          <w:i/>
          <w:sz w:val="23"/>
          <w:szCs w:val="23"/>
        </w:rPr>
        <w:t>X</w:t>
      </w:r>
      <w:r w:rsidR="000D592A" w:rsidRPr="00E61894">
        <w:rPr>
          <w:rFonts w:ascii="Times New Roman" w:hAnsi="Times New Roman"/>
          <w:i/>
          <w:sz w:val="23"/>
          <w:szCs w:val="23"/>
        </w:rPr>
        <w:t>II</w:t>
      </w:r>
      <w:r w:rsidRPr="00E61894">
        <w:rPr>
          <w:rFonts w:ascii="Times New Roman" w:hAnsi="Times New Roman"/>
          <w:i/>
          <w:sz w:val="23"/>
          <w:szCs w:val="23"/>
        </w:rPr>
        <w:t xml:space="preserve"> zjeździe</w:t>
      </w:r>
    </w:p>
    <w:p w14:paraId="7CF40DD7" w14:textId="77777777" w:rsidR="007C3A8C" w:rsidRPr="00E61894" w:rsidRDefault="007C3A8C" w:rsidP="007C3A8C">
      <w:pPr>
        <w:rPr>
          <w:rFonts w:ascii="Times New Roman" w:hAnsi="Times New Roman"/>
          <w:b/>
          <w:sz w:val="23"/>
          <w:szCs w:val="23"/>
        </w:rPr>
      </w:pPr>
    </w:p>
    <w:p w14:paraId="39C3E0D3" w14:textId="77777777" w:rsidR="007C3A8C" w:rsidRPr="00E61894" w:rsidRDefault="007C3A8C" w:rsidP="007C3A8C">
      <w:pPr>
        <w:spacing w:after="120" w:line="360" w:lineRule="auto"/>
        <w:ind w:left="4248" w:firstLine="708"/>
        <w:rPr>
          <w:rFonts w:ascii="Times New Roman" w:hAnsi="Times New Roman"/>
          <w:b/>
          <w:sz w:val="23"/>
          <w:szCs w:val="23"/>
        </w:rPr>
      </w:pPr>
      <w:r w:rsidRPr="00E61894">
        <w:rPr>
          <w:rFonts w:ascii="Times New Roman" w:hAnsi="Times New Roman"/>
          <w:b/>
          <w:sz w:val="23"/>
          <w:szCs w:val="23"/>
        </w:rPr>
        <w:t>Do</w:t>
      </w:r>
    </w:p>
    <w:p w14:paraId="2A94D1E6" w14:textId="77777777" w:rsidR="007C3A8C" w:rsidRPr="00E61894" w:rsidRDefault="007C3A8C" w:rsidP="007C3A8C">
      <w:pPr>
        <w:ind w:left="4956"/>
        <w:rPr>
          <w:rFonts w:ascii="Times New Roman" w:hAnsi="Times New Roman"/>
          <w:b/>
          <w:sz w:val="23"/>
          <w:szCs w:val="23"/>
        </w:rPr>
      </w:pPr>
      <w:r w:rsidRPr="00E61894">
        <w:rPr>
          <w:rFonts w:ascii="Times New Roman" w:hAnsi="Times New Roman"/>
          <w:b/>
          <w:sz w:val="23"/>
          <w:szCs w:val="23"/>
        </w:rPr>
        <w:t>patronów praktyk</w:t>
      </w:r>
    </w:p>
    <w:p w14:paraId="2A4536D4" w14:textId="77777777" w:rsidR="007C3A8C" w:rsidRPr="00E61894" w:rsidRDefault="007C3A8C" w:rsidP="007C3A8C">
      <w:pPr>
        <w:ind w:left="4956"/>
        <w:rPr>
          <w:rFonts w:ascii="Times New Roman" w:hAnsi="Times New Roman"/>
          <w:b/>
          <w:sz w:val="23"/>
          <w:szCs w:val="23"/>
        </w:rPr>
      </w:pPr>
      <w:r w:rsidRPr="00E61894">
        <w:rPr>
          <w:rFonts w:ascii="Times New Roman" w:hAnsi="Times New Roman"/>
          <w:b/>
          <w:sz w:val="23"/>
          <w:szCs w:val="23"/>
        </w:rPr>
        <w:t>oraz patronów koordynatorów</w:t>
      </w:r>
    </w:p>
    <w:p w14:paraId="3C55276D" w14:textId="77777777" w:rsidR="007C3A8C" w:rsidRPr="00E61894" w:rsidRDefault="007C3A8C" w:rsidP="007C3A8C">
      <w:pPr>
        <w:spacing w:line="360" w:lineRule="auto"/>
        <w:ind w:left="4248" w:firstLine="708"/>
        <w:jc w:val="both"/>
        <w:rPr>
          <w:rFonts w:ascii="Times New Roman" w:hAnsi="Times New Roman"/>
          <w:b/>
          <w:sz w:val="23"/>
          <w:szCs w:val="23"/>
        </w:rPr>
      </w:pPr>
      <w:r w:rsidRPr="00E61894">
        <w:rPr>
          <w:rFonts w:ascii="Times New Roman" w:hAnsi="Times New Roman"/>
          <w:b/>
          <w:sz w:val="23"/>
          <w:szCs w:val="23"/>
        </w:rPr>
        <w:t>aplikantów aplikacji sędziowskiej</w:t>
      </w:r>
    </w:p>
    <w:p w14:paraId="29D65438" w14:textId="77777777" w:rsidR="007C3A8C" w:rsidRPr="00E61894" w:rsidRDefault="007C3A8C" w:rsidP="007C3A8C">
      <w:pPr>
        <w:spacing w:line="360" w:lineRule="auto"/>
        <w:ind w:firstLine="708"/>
        <w:jc w:val="both"/>
        <w:rPr>
          <w:rFonts w:ascii="Times New Roman" w:hAnsi="Times New Roman"/>
          <w:sz w:val="23"/>
          <w:szCs w:val="23"/>
        </w:rPr>
      </w:pPr>
    </w:p>
    <w:p w14:paraId="1E69B719" w14:textId="45802E3D" w:rsidR="007C3A8C" w:rsidRPr="00E61894" w:rsidRDefault="007C3A8C" w:rsidP="007C3A8C">
      <w:pPr>
        <w:spacing w:line="36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E61894">
        <w:rPr>
          <w:rFonts w:ascii="Times New Roman" w:hAnsi="Times New Roman"/>
          <w:sz w:val="23"/>
          <w:szCs w:val="23"/>
        </w:rPr>
        <w:t xml:space="preserve">W oparciu o § 2 zarządzenia Dyrektora Krajowej Szkoły Sądownictwa i Prokuratury w Krakowie Nr 132/2019 z dnia 15 marca 2019 roku w sprawie szczegółowych zasad odbywania praktyk przez aplikantów aplikacji sędziowskiej i prokuratorskiej uprzejmie przedstawiam szczegółowy zakres tematyczny, który winien być przedmiotem praktyk aplikantów dziewiątego rocznika aplikacji sędziowskiej odbywanych w terminie od </w:t>
      </w:r>
      <w:r w:rsidR="000D592A" w:rsidRPr="00E61894">
        <w:rPr>
          <w:rFonts w:ascii="Times New Roman" w:hAnsi="Times New Roman"/>
          <w:sz w:val="23"/>
          <w:szCs w:val="23"/>
        </w:rPr>
        <w:t>21 grudnia 2020</w:t>
      </w:r>
      <w:r w:rsidR="004C2C39" w:rsidRPr="00E61894">
        <w:rPr>
          <w:rFonts w:ascii="Times New Roman" w:hAnsi="Times New Roman"/>
          <w:sz w:val="23"/>
          <w:szCs w:val="23"/>
        </w:rPr>
        <w:t xml:space="preserve"> r.</w:t>
      </w:r>
      <w:r w:rsidR="000D592A" w:rsidRPr="00E61894">
        <w:rPr>
          <w:rFonts w:ascii="Times New Roman" w:hAnsi="Times New Roman"/>
          <w:sz w:val="23"/>
          <w:szCs w:val="23"/>
        </w:rPr>
        <w:t xml:space="preserve"> do 22 stycznia 2021 r.</w:t>
      </w:r>
      <w:r w:rsidRPr="00E61894">
        <w:rPr>
          <w:rFonts w:ascii="Times New Roman" w:hAnsi="Times New Roman"/>
          <w:sz w:val="23"/>
          <w:szCs w:val="23"/>
        </w:rPr>
        <w:t xml:space="preserve"> po X</w:t>
      </w:r>
      <w:r w:rsidR="00374436" w:rsidRPr="00E61894">
        <w:rPr>
          <w:rFonts w:ascii="Times New Roman" w:hAnsi="Times New Roman"/>
          <w:sz w:val="23"/>
          <w:szCs w:val="23"/>
        </w:rPr>
        <w:t>X</w:t>
      </w:r>
      <w:r w:rsidR="00C32AE5" w:rsidRPr="00E61894">
        <w:rPr>
          <w:rFonts w:ascii="Times New Roman" w:hAnsi="Times New Roman"/>
          <w:sz w:val="23"/>
          <w:szCs w:val="23"/>
        </w:rPr>
        <w:t>X</w:t>
      </w:r>
      <w:r w:rsidR="000D592A" w:rsidRPr="00E61894">
        <w:rPr>
          <w:rFonts w:ascii="Times New Roman" w:hAnsi="Times New Roman"/>
          <w:sz w:val="23"/>
          <w:szCs w:val="23"/>
        </w:rPr>
        <w:t>II</w:t>
      </w:r>
      <w:r w:rsidRPr="00E61894">
        <w:rPr>
          <w:rFonts w:ascii="Times New Roman" w:hAnsi="Times New Roman"/>
          <w:sz w:val="23"/>
          <w:szCs w:val="23"/>
        </w:rPr>
        <w:t> zjeździe aplikacji sędziowskiej, który odb</w:t>
      </w:r>
      <w:r w:rsidR="000D592A" w:rsidRPr="00E61894">
        <w:rPr>
          <w:rFonts w:ascii="Times New Roman" w:hAnsi="Times New Roman"/>
          <w:sz w:val="23"/>
          <w:szCs w:val="23"/>
        </w:rPr>
        <w:t>ędzie</w:t>
      </w:r>
      <w:r w:rsidRPr="00E61894">
        <w:rPr>
          <w:rFonts w:ascii="Times New Roman" w:hAnsi="Times New Roman"/>
          <w:sz w:val="23"/>
          <w:szCs w:val="23"/>
        </w:rPr>
        <w:t xml:space="preserve"> się w dniach od </w:t>
      </w:r>
      <w:r w:rsidR="000D592A" w:rsidRPr="00E61894">
        <w:rPr>
          <w:rFonts w:ascii="Times New Roman" w:hAnsi="Times New Roman"/>
          <w:sz w:val="23"/>
          <w:szCs w:val="23"/>
        </w:rPr>
        <w:t>14 do 18 grudnia</w:t>
      </w:r>
      <w:r w:rsidR="00C32AE5" w:rsidRPr="00E61894">
        <w:rPr>
          <w:rFonts w:ascii="Times New Roman" w:hAnsi="Times New Roman"/>
          <w:sz w:val="23"/>
          <w:szCs w:val="23"/>
        </w:rPr>
        <w:t xml:space="preserve"> </w:t>
      </w:r>
      <w:r w:rsidRPr="00E61894">
        <w:rPr>
          <w:rFonts w:ascii="Times New Roman" w:hAnsi="Times New Roman"/>
          <w:sz w:val="23"/>
          <w:szCs w:val="23"/>
        </w:rPr>
        <w:t xml:space="preserve">2020 r. </w:t>
      </w:r>
    </w:p>
    <w:p w14:paraId="58A1E9E3" w14:textId="112DE5CC" w:rsidR="007C3A8C" w:rsidRPr="00E61894" w:rsidRDefault="007C3A8C" w:rsidP="007C3A8C">
      <w:pPr>
        <w:spacing w:line="36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E61894">
        <w:rPr>
          <w:rFonts w:ascii="Times New Roman" w:hAnsi="Times New Roman"/>
          <w:sz w:val="23"/>
          <w:szCs w:val="23"/>
        </w:rPr>
        <w:t xml:space="preserve">Założeniem praktyki, co do zasady, jest zaznajomienie aplikantów z czynnościami </w:t>
      </w:r>
      <w:r w:rsidR="00847DED" w:rsidRPr="00E61894">
        <w:rPr>
          <w:rFonts w:ascii="Times New Roman" w:hAnsi="Times New Roman"/>
          <w:sz w:val="23"/>
          <w:szCs w:val="23"/>
        </w:rPr>
        <w:t xml:space="preserve">             </w:t>
      </w:r>
      <w:r w:rsidRPr="00E61894">
        <w:rPr>
          <w:rFonts w:ascii="Times New Roman" w:hAnsi="Times New Roman"/>
          <w:sz w:val="23"/>
          <w:szCs w:val="23"/>
        </w:rPr>
        <w:t xml:space="preserve">i metodyką pracy sędziego oraz doskonalenie umiejętności wykorzystania wiedzy teoretycznej i znajomości orzecznictwa przy sporządzaniu projektów orzeczeń, zarządzeń i pism procesowych, a także poprzez uczestniczenie w czynnościach podejmowanych przez patrona praktyki. Praktyka winna utrwalać wiedzę zdobytą przez aplikanta podczas poprzedzających ją zajęć seminaryjnych w ramach zjazdu. </w:t>
      </w:r>
    </w:p>
    <w:p w14:paraId="56967EF5" w14:textId="79E5E5A4" w:rsidR="00A76E09" w:rsidRPr="00E61894" w:rsidRDefault="007C3A8C" w:rsidP="000D592A">
      <w:pPr>
        <w:spacing w:before="120" w:after="0" w:line="36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E61894">
        <w:rPr>
          <w:rFonts w:ascii="Times New Roman" w:hAnsi="Times New Roman"/>
          <w:sz w:val="23"/>
          <w:szCs w:val="23"/>
        </w:rPr>
        <w:t>Zgodnie z programem aplikacji sędziowskiej realizowanym przez aplikantów dziewiątego rocznik</w:t>
      </w:r>
      <w:r w:rsidR="00374436" w:rsidRPr="00E61894">
        <w:rPr>
          <w:rFonts w:ascii="Times New Roman" w:hAnsi="Times New Roman"/>
          <w:sz w:val="23"/>
          <w:szCs w:val="23"/>
        </w:rPr>
        <w:t xml:space="preserve">a tej aplikacji, </w:t>
      </w:r>
      <w:r w:rsidR="000D592A" w:rsidRPr="00E61894">
        <w:rPr>
          <w:rFonts w:ascii="Times New Roman" w:hAnsi="Times New Roman"/>
          <w:sz w:val="23"/>
          <w:szCs w:val="23"/>
        </w:rPr>
        <w:t>zjazd</w:t>
      </w:r>
      <w:r w:rsidR="00150D16" w:rsidRPr="00E61894">
        <w:rPr>
          <w:rFonts w:ascii="Times New Roman" w:hAnsi="Times New Roman"/>
          <w:sz w:val="23"/>
          <w:szCs w:val="23"/>
        </w:rPr>
        <w:t>y</w:t>
      </w:r>
      <w:r w:rsidR="000D592A" w:rsidRPr="00E61894">
        <w:rPr>
          <w:rFonts w:ascii="Times New Roman" w:hAnsi="Times New Roman"/>
          <w:sz w:val="23"/>
          <w:szCs w:val="23"/>
        </w:rPr>
        <w:t xml:space="preserve"> XXXII</w:t>
      </w:r>
      <w:r w:rsidRPr="00E61894">
        <w:rPr>
          <w:rFonts w:ascii="Times New Roman" w:hAnsi="Times New Roman"/>
          <w:sz w:val="23"/>
          <w:szCs w:val="23"/>
        </w:rPr>
        <w:t xml:space="preserve"> </w:t>
      </w:r>
      <w:r w:rsidR="00150D16" w:rsidRPr="00E61894">
        <w:rPr>
          <w:rFonts w:ascii="Times New Roman" w:hAnsi="Times New Roman"/>
          <w:sz w:val="23"/>
          <w:szCs w:val="23"/>
        </w:rPr>
        <w:t>i XXXI</w:t>
      </w:r>
      <w:r w:rsidR="004E6277">
        <w:rPr>
          <w:rFonts w:ascii="Times New Roman" w:hAnsi="Times New Roman"/>
          <w:sz w:val="23"/>
          <w:szCs w:val="23"/>
        </w:rPr>
        <w:t>I</w:t>
      </w:r>
      <w:r w:rsidR="00150D16" w:rsidRPr="00E61894">
        <w:rPr>
          <w:rFonts w:ascii="Times New Roman" w:hAnsi="Times New Roman"/>
          <w:sz w:val="23"/>
          <w:szCs w:val="23"/>
        </w:rPr>
        <w:t xml:space="preserve">I (ten ostatni odbędzie się w dniach od 25 do 29 stycznia 2021 r.) </w:t>
      </w:r>
      <w:r w:rsidR="000D592A" w:rsidRPr="00E61894">
        <w:rPr>
          <w:rFonts w:ascii="Times New Roman" w:hAnsi="Times New Roman"/>
          <w:sz w:val="23"/>
          <w:szCs w:val="23"/>
        </w:rPr>
        <w:t>ma</w:t>
      </w:r>
      <w:r w:rsidR="00150D16" w:rsidRPr="00E61894">
        <w:rPr>
          <w:rFonts w:ascii="Times New Roman" w:hAnsi="Times New Roman"/>
          <w:sz w:val="23"/>
          <w:szCs w:val="23"/>
        </w:rPr>
        <w:t>ją</w:t>
      </w:r>
      <w:r w:rsidR="000D592A" w:rsidRPr="00E61894">
        <w:rPr>
          <w:rFonts w:ascii="Times New Roman" w:hAnsi="Times New Roman"/>
          <w:sz w:val="23"/>
          <w:szCs w:val="23"/>
        </w:rPr>
        <w:t xml:space="preserve"> charakter repetytoryjny, a prowadzone na ni</w:t>
      </w:r>
      <w:r w:rsidR="00150D16" w:rsidRPr="00E61894">
        <w:rPr>
          <w:rFonts w:ascii="Times New Roman" w:hAnsi="Times New Roman"/>
          <w:sz w:val="23"/>
          <w:szCs w:val="23"/>
        </w:rPr>
        <w:t>ch</w:t>
      </w:r>
      <w:r w:rsidR="000D592A" w:rsidRPr="00E61894">
        <w:rPr>
          <w:rFonts w:ascii="Times New Roman" w:hAnsi="Times New Roman"/>
          <w:sz w:val="23"/>
          <w:szCs w:val="23"/>
        </w:rPr>
        <w:t xml:space="preserve"> zajęcia mają przede wszystkim na celu powtórzenie zagadnień węzłowych z punktu widzenia egzaminu sędziowskiego, przy uwzględnieniu zmian prawa wprowadzonych po zjeździe, na którym dane </w:t>
      </w:r>
      <w:r w:rsidR="000D592A" w:rsidRPr="00E61894">
        <w:rPr>
          <w:rFonts w:ascii="Times New Roman" w:hAnsi="Times New Roman"/>
          <w:sz w:val="23"/>
          <w:szCs w:val="23"/>
        </w:rPr>
        <w:lastRenderedPageBreak/>
        <w:t>zagadnie</w:t>
      </w:r>
      <w:r w:rsidR="00175791" w:rsidRPr="00E61894">
        <w:rPr>
          <w:rFonts w:ascii="Times New Roman" w:hAnsi="Times New Roman"/>
          <w:sz w:val="23"/>
          <w:szCs w:val="23"/>
        </w:rPr>
        <w:t>nie zostało pierwotnie omówione, a także utrwalenie i uporządkowanie wiedzy zdobytej w toku całego cyklu szkolenia.</w:t>
      </w:r>
      <w:r w:rsidR="000D592A" w:rsidRPr="00E61894">
        <w:rPr>
          <w:rFonts w:ascii="Times New Roman" w:hAnsi="Times New Roman"/>
          <w:sz w:val="23"/>
          <w:szCs w:val="23"/>
        </w:rPr>
        <w:t xml:space="preserve"> Zjazd </w:t>
      </w:r>
      <w:r w:rsidR="00150D16" w:rsidRPr="00E61894">
        <w:rPr>
          <w:rFonts w:ascii="Times New Roman" w:hAnsi="Times New Roman"/>
          <w:sz w:val="23"/>
          <w:szCs w:val="23"/>
        </w:rPr>
        <w:t xml:space="preserve">XXXII </w:t>
      </w:r>
      <w:r w:rsidR="000D592A" w:rsidRPr="00E61894">
        <w:rPr>
          <w:rFonts w:ascii="Times New Roman" w:hAnsi="Times New Roman"/>
          <w:sz w:val="23"/>
          <w:szCs w:val="23"/>
        </w:rPr>
        <w:t>jest poświęcony powtórzeniu materiału z zakresu szeroko rozumianego bloku cywilnego</w:t>
      </w:r>
      <w:r w:rsidR="00150D16" w:rsidRPr="00E61894">
        <w:rPr>
          <w:rFonts w:ascii="Times New Roman" w:hAnsi="Times New Roman"/>
          <w:sz w:val="23"/>
          <w:szCs w:val="23"/>
        </w:rPr>
        <w:t xml:space="preserve">. Po </w:t>
      </w:r>
      <w:r w:rsidRPr="00E61894">
        <w:rPr>
          <w:rFonts w:ascii="Times New Roman" w:hAnsi="Times New Roman"/>
          <w:sz w:val="23"/>
          <w:szCs w:val="23"/>
        </w:rPr>
        <w:t xml:space="preserve">zakończeniu </w:t>
      </w:r>
      <w:r w:rsidR="00150D16" w:rsidRPr="00E61894">
        <w:rPr>
          <w:rFonts w:ascii="Times New Roman" w:hAnsi="Times New Roman"/>
          <w:sz w:val="23"/>
          <w:szCs w:val="23"/>
        </w:rPr>
        <w:t xml:space="preserve">tego </w:t>
      </w:r>
      <w:r w:rsidRPr="00E61894">
        <w:rPr>
          <w:rFonts w:ascii="Times New Roman" w:hAnsi="Times New Roman"/>
          <w:sz w:val="23"/>
          <w:szCs w:val="23"/>
        </w:rPr>
        <w:t xml:space="preserve">zjazdu aplikanci mają odbyć trwającą </w:t>
      </w:r>
      <w:r w:rsidR="000D592A" w:rsidRPr="00E61894">
        <w:rPr>
          <w:rFonts w:ascii="Times New Roman" w:hAnsi="Times New Roman"/>
          <w:sz w:val="23"/>
          <w:szCs w:val="23"/>
        </w:rPr>
        <w:t>2</w:t>
      </w:r>
      <w:r w:rsidR="00D84572" w:rsidRPr="00E61894">
        <w:rPr>
          <w:rFonts w:ascii="Times New Roman" w:hAnsi="Times New Roman"/>
          <w:sz w:val="23"/>
          <w:szCs w:val="23"/>
        </w:rPr>
        <w:t xml:space="preserve"> tygodnie </w:t>
      </w:r>
      <w:r w:rsidR="006B1A06" w:rsidRPr="00E61894">
        <w:rPr>
          <w:rFonts w:ascii="Times New Roman" w:hAnsi="Times New Roman"/>
          <w:sz w:val="23"/>
          <w:szCs w:val="23"/>
        </w:rPr>
        <w:t xml:space="preserve">praktykę </w:t>
      </w:r>
      <w:r w:rsidR="00D84572" w:rsidRPr="00E61894">
        <w:rPr>
          <w:rFonts w:ascii="Times New Roman" w:hAnsi="Times New Roman"/>
          <w:sz w:val="23"/>
          <w:szCs w:val="23"/>
        </w:rPr>
        <w:t xml:space="preserve">w sądzie </w:t>
      </w:r>
      <w:r w:rsidR="00D22A5C" w:rsidRPr="00E61894">
        <w:rPr>
          <w:rFonts w:ascii="Times New Roman" w:hAnsi="Times New Roman"/>
          <w:sz w:val="23"/>
          <w:szCs w:val="23"/>
        </w:rPr>
        <w:t>rejonowym</w:t>
      </w:r>
      <w:r w:rsidR="00D84572" w:rsidRPr="00E61894">
        <w:rPr>
          <w:rFonts w:ascii="Times New Roman" w:hAnsi="Times New Roman"/>
          <w:sz w:val="23"/>
          <w:szCs w:val="23"/>
        </w:rPr>
        <w:t xml:space="preserve"> </w:t>
      </w:r>
      <w:r w:rsidR="00B27341" w:rsidRPr="00E61894">
        <w:rPr>
          <w:rFonts w:ascii="Times New Roman" w:hAnsi="Times New Roman"/>
          <w:sz w:val="23"/>
          <w:szCs w:val="23"/>
        </w:rPr>
        <w:t>w</w:t>
      </w:r>
      <w:r w:rsidR="00D84572" w:rsidRPr="00E61894">
        <w:rPr>
          <w:rFonts w:ascii="Times New Roman" w:hAnsi="Times New Roman"/>
          <w:sz w:val="23"/>
          <w:szCs w:val="23"/>
        </w:rPr>
        <w:t xml:space="preserve"> wydzia</w:t>
      </w:r>
      <w:r w:rsidR="00B27341" w:rsidRPr="00E61894">
        <w:rPr>
          <w:rFonts w:ascii="Times New Roman" w:hAnsi="Times New Roman"/>
          <w:sz w:val="23"/>
          <w:szCs w:val="23"/>
        </w:rPr>
        <w:t>le</w:t>
      </w:r>
      <w:r w:rsidR="00D84572" w:rsidRPr="00E61894">
        <w:rPr>
          <w:rFonts w:ascii="Times New Roman" w:hAnsi="Times New Roman"/>
          <w:sz w:val="23"/>
          <w:szCs w:val="23"/>
        </w:rPr>
        <w:t xml:space="preserve"> </w:t>
      </w:r>
      <w:r w:rsidR="000D592A" w:rsidRPr="00E61894">
        <w:rPr>
          <w:rFonts w:ascii="Times New Roman" w:hAnsi="Times New Roman"/>
          <w:sz w:val="23"/>
          <w:szCs w:val="23"/>
        </w:rPr>
        <w:t>cywilnym</w:t>
      </w:r>
      <w:r w:rsidR="00F3691A" w:rsidRPr="00E61894">
        <w:rPr>
          <w:rFonts w:ascii="Times New Roman" w:hAnsi="Times New Roman"/>
          <w:sz w:val="23"/>
          <w:szCs w:val="23"/>
        </w:rPr>
        <w:t xml:space="preserve">, </w:t>
      </w:r>
      <w:r w:rsidR="00150D16" w:rsidRPr="00E61894">
        <w:rPr>
          <w:rFonts w:ascii="Times New Roman" w:hAnsi="Times New Roman"/>
          <w:sz w:val="23"/>
          <w:szCs w:val="23"/>
        </w:rPr>
        <w:t xml:space="preserve">jak również </w:t>
      </w:r>
      <w:r w:rsidR="00F3691A" w:rsidRPr="00E61894">
        <w:rPr>
          <w:rFonts w:ascii="Times New Roman" w:hAnsi="Times New Roman"/>
          <w:sz w:val="23"/>
          <w:szCs w:val="23"/>
        </w:rPr>
        <w:t xml:space="preserve">trwającą </w:t>
      </w:r>
      <w:r w:rsidR="00F3691A" w:rsidRPr="00E61894">
        <w:rPr>
          <w:rFonts w:ascii="Times New Roman" w:hAnsi="Times New Roman"/>
          <w:b/>
          <w:sz w:val="23"/>
          <w:szCs w:val="23"/>
          <w:u w:val="single"/>
        </w:rPr>
        <w:t>3</w:t>
      </w:r>
      <w:r w:rsidR="00150D16" w:rsidRPr="00E61894">
        <w:rPr>
          <w:rFonts w:ascii="Times New Roman" w:hAnsi="Times New Roman"/>
          <w:b/>
          <w:sz w:val="23"/>
          <w:szCs w:val="23"/>
          <w:u w:val="single"/>
        </w:rPr>
        <w:t> t</w:t>
      </w:r>
      <w:r w:rsidR="00F3691A" w:rsidRPr="00E61894">
        <w:rPr>
          <w:rFonts w:ascii="Times New Roman" w:hAnsi="Times New Roman"/>
          <w:b/>
          <w:sz w:val="23"/>
          <w:szCs w:val="23"/>
          <w:u w:val="single"/>
        </w:rPr>
        <w:t xml:space="preserve">ygodnie </w:t>
      </w:r>
      <w:r w:rsidR="004E6277" w:rsidRPr="00E61894">
        <w:rPr>
          <w:rFonts w:ascii="Times New Roman" w:hAnsi="Times New Roman"/>
          <w:b/>
          <w:sz w:val="23"/>
          <w:szCs w:val="23"/>
          <w:u w:val="single"/>
        </w:rPr>
        <w:t xml:space="preserve">praktykę </w:t>
      </w:r>
      <w:r w:rsidR="00F3691A" w:rsidRPr="00E61894">
        <w:rPr>
          <w:rFonts w:ascii="Times New Roman" w:hAnsi="Times New Roman"/>
          <w:b/>
          <w:sz w:val="23"/>
          <w:szCs w:val="23"/>
          <w:u w:val="single"/>
        </w:rPr>
        <w:t>w sądzie rejonowym w wydziale karnym</w:t>
      </w:r>
      <w:r w:rsidR="004671A9" w:rsidRPr="00E61894">
        <w:rPr>
          <w:rFonts w:ascii="Times New Roman" w:hAnsi="Times New Roman"/>
          <w:sz w:val="23"/>
          <w:szCs w:val="23"/>
        </w:rPr>
        <w:t>, która poprzedzać będzie zjazd XXXIII poświęcony powtórzeniu materiału z zakresu szeroko rozumianego bloku karnego</w:t>
      </w:r>
      <w:r w:rsidR="00150D16" w:rsidRPr="00E61894">
        <w:rPr>
          <w:rFonts w:ascii="Times New Roman" w:hAnsi="Times New Roman"/>
          <w:sz w:val="23"/>
          <w:szCs w:val="23"/>
        </w:rPr>
        <w:t xml:space="preserve">, tj. </w:t>
      </w:r>
      <w:r w:rsidR="004671A9" w:rsidRPr="00E61894">
        <w:rPr>
          <w:rFonts w:ascii="Times New Roman" w:hAnsi="Times New Roman"/>
          <w:sz w:val="23"/>
          <w:szCs w:val="23"/>
        </w:rPr>
        <w:t>praw</w:t>
      </w:r>
      <w:r w:rsidR="00150D16" w:rsidRPr="00E61894">
        <w:rPr>
          <w:rFonts w:ascii="Times New Roman" w:hAnsi="Times New Roman"/>
          <w:sz w:val="23"/>
          <w:szCs w:val="23"/>
        </w:rPr>
        <w:t>a</w:t>
      </w:r>
      <w:r w:rsidR="004671A9" w:rsidRPr="00E61894">
        <w:rPr>
          <w:rFonts w:ascii="Times New Roman" w:hAnsi="Times New Roman"/>
          <w:sz w:val="23"/>
          <w:szCs w:val="23"/>
        </w:rPr>
        <w:t xml:space="preserve"> karne</w:t>
      </w:r>
      <w:r w:rsidR="00150D16" w:rsidRPr="00E61894">
        <w:rPr>
          <w:rFonts w:ascii="Times New Roman" w:hAnsi="Times New Roman"/>
          <w:sz w:val="23"/>
          <w:szCs w:val="23"/>
        </w:rPr>
        <w:t>go</w:t>
      </w:r>
      <w:r w:rsidR="004671A9" w:rsidRPr="00E61894">
        <w:rPr>
          <w:rFonts w:ascii="Times New Roman" w:hAnsi="Times New Roman"/>
          <w:sz w:val="23"/>
          <w:szCs w:val="23"/>
        </w:rPr>
        <w:t xml:space="preserve"> (materialne</w:t>
      </w:r>
      <w:r w:rsidR="00150D16" w:rsidRPr="00E61894">
        <w:rPr>
          <w:rFonts w:ascii="Times New Roman" w:hAnsi="Times New Roman"/>
          <w:sz w:val="23"/>
          <w:szCs w:val="23"/>
        </w:rPr>
        <w:t>go</w:t>
      </w:r>
      <w:r w:rsidR="004671A9" w:rsidRPr="00E61894">
        <w:rPr>
          <w:rFonts w:ascii="Times New Roman" w:hAnsi="Times New Roman"/>
          <w:sz w:val="23"/>
          <w:szCs w:val="23"/>
        </w:rPr>
        <w:t xml:space="preserve"> i procesowe</w:t>
      </w:r>
      <w:r w:rsidR="00150D16" w:rsidRPr="00E61894">
        <w:rPr>
          <w:rFonts w:ascii="Times New Roman" w:hAnsi="Times New Roman"/>
          <w:sz w:val="23"/>
          <w:szCs w:val="23"/>
        </w:rPr>
        <w:t>go</w:t>
      </w:r>
      <w:r w:rsidR="004671A9" w:rsidRPr="00E61894">
        <w:rPr>
          <w:rFonts w:ascii="Times New Roman" w:hAnsi="Times New Roman"/>
          <w:sz w:val="23"/>
          <w:szCs w:val="23"/>
        </w:rPr>
        <w:t>), praw</w:t>
      </w:r>
      <w:r w:rsidR="00150D16" w:rsidRPr="00E61894">
        <w:rPr>
          <w:rFonts w:ascii="Times New Roman" w:hAnsi="Times New Roman"/>
          <w:sz w:val="23"/>
          <w:szCs w:val="23"/>
        </w:rPr>
        <w:t>a</w:t>
      </w:r>
      <w:r w:rsidR="004671A9" w:rsidRPr="00E61894">
        <w:rPr>
          <w:rFonts w:ascii="Times New Roman" w:hAnsi="Times New Roman"/>
          <w:sz w:val="23"/>
          <w:szCs w:val="23"/>
        </w:rPr>
        <w:t xml:space="preserve"> karne</w:t>
      </w:r>
      <w:r w:rsidR="00150D16" w:rsidRPr="00E61894">
        <w:rPr>
          <w:rFonts w:ascii="Times New Roman" w:hAnsi="Times New Roman"/>
          <w:sz w:val="23"/>
          <w:szCs w:val="23"/>
        </w:rPr>
        <w:t>go</w:t>
      </w:r>
      <w:r w:rsidR="004671A9" w:rsidRPr="00E61894">
        <w:rPr>
          <w:rFonts w:ascii="Times New Roman" w:hAnsi="Times New Roman"/>
          <w:sz w:val="23"/>
          <w:szCs w:val="23"/>
        </w:rPr>
        <w:t xml:space="preserve"> wykonawcze</w:t>
      </w:r>
      <w:r w:rsidR="00150D16" w:rsidRPr="00E61894">
        <w:rPr>
          <w:rFonts w:ascii="Times New Roman" w:hAnsi="Times New Roman"/>
          <w:sz w:val="23"/>
          <w:szCs w:val="23"/>
        </w:rPr>
        <w:t>go</w:t>
      </w:r>
      <w:r w:rsidR="004671A9" w:rsidRPr="00E61894">
        <w:rPr>
          <w:rFonts w:ascii="Times New Roman" w:hAnsi="Times New Roman"/>
          <w:sz w:val="23"/>
          <w:szCs w:val="23"/>
        </w:rPr>
        <w:t xml:space="preserve"> oraz praw</w:t>
      </w:r>
      <w:r w:rsidR="00150D16" w:rsidRPr="00E61894">
        <w:rPr>
          <w:rFonts w:ascii="Times New Roman" w:hAnsi="Times New Roman"/>
          <w:sz w:val="23"/>
          <w:szCs w:val="23"/>
        </w:rPr>
        <w:t>a</w:t>
      </w:r>
      <w:r w:rsidR="004671A9" w:rsidRPr="00E61894">
        <w:rPr>
          <w:rFonts w:ascii="Times New Roman" w:hAnsi="Times New Roman"/>
          <w:sz w:val="23"/>
          <w:szCs w:val="23"/>
        </w:rPr>
        <w:t xml:space="preserve"> karne</w:t>
      </w:r>
      <w:r w:rsidR="00150D16" w:rsidRPr="00E61894">
        <w:rPr>
          <w:rFonts w:ascii="Times New Roman" w:hAnsi="Times New Roman"/>
          <w:sz w:val="23"/>
          <w:szCs w:val="23"/>
        </w:rPr>
        <w:t>go</w:t>
      </w:r>
      <w:r w:rsidR="004671A9" w:rsidRPr="00E61894">
        <w:rPr>
          <w:rFonts w:ascii="Times New Roman" w:hAnsi="Times New Roman"/>
          <w:sz w:val="23"/>
          <w:szCs w:val="23"/>
        </w:rPr>
        <w:t xml:space="preserve"> skarbowe</w:t>
      </w:r>
      <w:r w:rsidR="00150D16" w:rsidRPr="00E61894">
        <w:rPr>
          <w:rFonts w:ascii="Times New Roman" w:hAnsi="Times New Roman"/>
          <w:sz w:val="23"/>
          <w:szCs w:val="23"/>
        </w:rPr>
        <w:t>go</w:t>
      </w:r>
      <w:r w:rsidR="004671A9" w:rsidRPr="00E61894">
        <w:rPr>
          <w:rFonts w:ascii="Times New Roman" w:hAnsi="Times New Roman"/>
          <w:sz w:val="23"/>
          <w:szCs w:val="23"/>
        </w:rPr>
        <w:t>.</w:t>
      </w:r>
    </w:p>
    <w:p w14:paraId="6BDE9D34" w14:textId="4FEA6FE5" w:rsidR="00E61894" w:rsidRPr="00E61894" w:rsidRDefault="0025415A" w:rsidP="00E61894">
      <w:pPr>
        <w:spacing w:before="120" w:after="0" w:line="36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E61894">
        <w:rPr>
          <w:rFonts w:ascii="Times New Roman" w:hAnsi="Times New Roman"/>
          <w:sz w:val="23"/>
          <w:szCs w:val="23"/>
        </w:rPr>
        <w:t>Mając na uwadze opisany wyżej charakter i cel zajęć na XXXII</w:t>
      </w:r>
      <w:r w:rsidR="001B3F37" w:rsidRPr="00E61894">
        <w:rPr>
          <w:rFonts w:ascii="Times New Roman" w:hAnsi="Times New Roman"/>
          <w:sz w:val="23"/>
          <w:szCs w:val="23"/>
        </w:rPr>
        <w:t xml:space="preserve"> i XXXIII</w:t>
      </w:r>
      <w:r w:rsidRPr="00E61894">
        <w:rPr>
          <w:rFonts w:ascii="Times New Roman" w:hAnsi="Times New Roman"/>
          <w:sz w:val="23"/>
          <w:szCs w:val="23"/>
        </w:rPr>
        <w:t xml:space="preserve"> zjeździe oraz najistotniejsze zagadnienia z zakresu </w:t>
      </w:r>
      <w:r w:rsidR="00E61894" w:rsidRPr="00E61894">
        <w:rPr>
          <w:rFonts w:ascii="Times New Roman" w:hAnsi="Times New Roman"/>
          <w:sz w:val="23"/>
          <w:szCs w:val="23"/>
        </w:rPr>
        <w:t>szeroko rozumianego bloku karnego</w:t>
      </w:r>
      <w:r w:rsidR="001B3F37" w:rsidRPr="00E61894">
        <w:rPr>
          <w:rFonts w:ascii="Times New Roman" w:hAnsi="Times New Roman"/>
          <w:sz w:val="23"/>
          <w:szCs w:val="23"/>
        </w:rPr>
        <w:t xml:space="preserve">, </w:t>
      </w:r>
      <w:r w:rsidRPr="00E61894">
        <w:rPr>
          <w:rFonts w:ascii="Times New Roman" w:hAnsi="Times New Roman"/>
          <w:sz w:val="23"/>
          <w:szCs w:val="23"/>
        </w:rPr>
        <w:t xml:space="preserve">wymagające powtórnego omówienia i utrwalenia przed egzaminem sędziowskim, </w:t>
      </w:r>
      <w:r w:rsidR="00E61894">
        <w:rPr>
          <w:rFonts w:ascii="Times New Roman" w:hAnsi="Times New Roman"/>
          <w:sz w:val="23"/>
          <w:szCs w:val="23"/>
        </w:rPr>
        <w:t>p</w:t>
      </w:r>
      <w:r w:rsidR="00E61894" w:rsidRPr="00E61894">
        <w:rPr>
          <w:rFonts w:ascii="Times New Roman" w:hAnsi="Times New Roman"/>
          <w:sz w:val="23"/>
          <w:szCs w:val="23"/>
        </w:rPr>
        <w:t>atron praktyki oraz patron koordynator powinni przy pracy z aplikantami poświęcić uwagę przede wszystkim zaznajomieniu aplikantów z jak najszerszym kręgiem decyzji podejmowanych przez sędziego na etapie bezpośrednio poprzedzającym zakończenie postępowania przed sądem pierwszej instancji. Wskazanym jest, aby aplikanci sporządzali projekty wyroków i ich uzasadnień zapadających w jak największej liczbie różnorodnych spraw. Nadto istotne jest aby były im zlecane:</w:t>
      </w:r>
    </w:p>
    <w:p w14:paraId="5641B3A6" w14:textId="77777777" w:rsidR="00E61894" w:rsidRPr="00E61894" w:rsidRDefault="00E61894" w:rsidP="00E61894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sz w:val="23"/>
          <w:szCs w:val="23"/>
        </w:rPr>
      </w:pPr>
      <w:r w:rsidRPr="00E61894">
        <w:rPr>
          <w:rFonts w:ascii="Times New Roman" w:hAnsi="Times New Roman"/>
          <w:sz w:val="23"/>
          <w:szCs w:val="23"/>
        </w:rPr>
        <w:t>analiza akt spraw na etapie bezpośrednio poprzedzającym wydanie wyroku, skoncentrowana na ocenie materiału dowodowego, przygotowaniu i wydaniu końcowego orzeczenia;</w:t>
      </w:r>
    </w:p>
    <w:p w14:paraId="3195C68A" w14:textId="77777777" w:rsidR="00E61894" w:rsidRPr="00E61894" w:rsidRDefault="00E61894" w:rsidP="00E61894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sz w:val="23"/>
          <w:szCs w:val="23"/>
        </w:rPr>
      </w:pPr>
      <w:r w:rsidRPr="00E61894">
        <w:rPr>
          <w:rFonts w:ascii="Times New Roman" w:hAnsi="Times New Roman"/>
          <w:sz w:val="23"/>
          <w:szCs w:val="23"/>
        </w:rPr>
        <w:t>zapoznanie się z czynnościami wykonywanymi przez sędziego w związku z wznowieniem przewodu sądowego oraz skierowaniem sprawy na posiedzenie w trybie art. 420 § 1 i 2 k.p.k.;</w:t>
      </w:r>
    </w:p>
    <w:p w14:paraId="59EE70CD" w14:textId="77777777" w:rsidR="00E61894" w:rsidRPr="00E61894" w:rsidRDefault="00E61894" w:rsidP="00E61894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sz w:val="23"/>
          <w:szCs w:val="23"/>
        </w:rPr>
      </w:pPr>
      <w:r w:rsidRPr="00E61894">
        <w:rPr>
          <w:rFonts w:ascii="Times New Roman" w:hAnsi="Times New Roman"/>
          <w:sz w:val="23"/>
          <w:szCs w:val="23"/>
        </w:rPr>
        <w:t>sporządzanie projektów następujących decyzji procesowych:</w:t>
      </w:r>
    </w:p>
    <w:p w14:paraId="2B6A4C0E" w14:textId="77777777" w:rsidR="00E61894" w:rsidRPr="00E61894" w:rsidRDefault="00E61894" w:rsidP="00E61894">
      <w:pPr>
        <w:pStyle w:val="Akapitzlist"/>
        <w:numPr>
          <w:ilvl w:val="1"/>
          <w:numId w:val="30"/>
        </w:numPr>
        <w:spacing w:after="0" w:line="360" w:lineRule="auto"/>
        <w:jc w:val="both"/>
        <w:rPr>
          <w:rFonts w:ascii="Times New Roman" w:hAnsi="Times New Roman"/>
          <w:sz w:val="23"/>
          <w:szCs w:val="23"/>
        </w:rPr>
      </w:pPr>
      <w:r w:rsidRPr="00E61894">
        <w:rPr>
          <w:rFonts w:ascii="Times New Roman" w:hAnsi="Times New Roman"/>
          <w:sz w:val="23"/>
          <w:szCs w:val="23"/>
        </w:rPr>
        <w:t>wyroku skazującego;</w:t>
      </w:r>
    </w:p>
    <w:p w14:paraId="27F477EC" w14:textId="77777777" w:rsidR="00E61894" w:rsidRPr="00E61894" w:rsidRDefault="00E61894" w:rsidP="00E61894">
      <w:pPr>
        <w:pStyle w:val="Akapitzlist"/>
        <w:numPr>
          <w:ilvl w:val="1"/>
          <w:numId w:val="30"/>
        </w:numPr>
        <w:spacing w:after="0" w:line="360" w:lineRule="auto"/>
        <w:jc w:val="both"/>
        <w:rPr>
          <w:rFonts w:ascii="Times New Roman" w:hAnsi="Times New Roman"/>
          <w:sz w:val="23"/>
          <w:szCs w:val="23"/>
        </w:rPr>
      </w:pPr>
      <w:r w:rsidRPr="00E61894">
        <w:rPr>
          <w:rFonts w:ascii="Times New Roman" w:hAnsi="Times New Roman"/>
          <w:sz w:val="23"/>
          <w:szCs w:val="23"/>
        </w:rPr>
        <w:t>wyroku uniewinniającego;</w:t>
      </w:r>
    </w:p>
    <w:p w14:paraId="68A97378" w14:textId="77777777" w:rsidR="00E61894" w:rsidRPr="00E61894" w:rsidRDefault="00E61894" w:rsidP="00E61894">
      <w:pPr>
        <w:pStyle w:val="Akapitzlist"/>
        <w:numPr>
          <w:ilvl w:val="1"/>
          <w:numId w:val="30"/>
        </w:numPr>
        <w:spacing w:after="0" w:line="360" w:lineRule="auto"/>
        <w:jc w:val="both"/>
        <w:rPr>
          <w:rFonts w:ascii="Times New Roman" w:hAnsi="Times New Roman"/>
          <w:sz w:val="23"/>
          <w:szCs w:val="23"/>
        </w:rPr>
      </w:pPr>
      <w:r w:rsidRPr="00E61894">
        <w:rPr>
          <w:rFonts w:ascii="Times New Roman" w:hAnsi="Times New Roman"/>
          <w:sz w:val="23"/>
          <w:szCs w:val="23"/>
        </w:rPr>
        <w:t>wyroku warunkowo umarzającego postępowanie;</w:t>
      </w:r>
    </w:p>
    <w:p w14:paraId="47BFC186" w14:textId="77777777" w:rsidR="00E61894" w:rsidRPr="00E61894" w:rsidRDefault="00E61894" w:rsidP="00E61894">
      <w:pPr>
        <w:pStyle w:val="Akapitzlist"/>
        <w:numPr>
          <w:ilvl w:val="1"/>
          <w:numId w:val="30"/>
        </w:numPr>
        <w:spacing w:after="0" w:line="360" w:lineRule="auto"/>
        <w:jc w:val="both"/>
        <w:rPr>
          <w:rFonts w:ascii="Times New Roman" w:hAnsi="Times New Roman"/>
          <w:sz w:val="23"/>
          <w:szCs w:val="23"/>
        </w:rPr>
      </w:pPr>
      <w:r w:rsidRPr="00E61894">
        <w:rPr>
          <w:rFonts w:ascii="Times New Roman" w:hAnsi="Times New Roman"/>
          <w:sz w:val="23"/>
          <w:szCs w:val="23"/>
        </w:rPr>
        <w:t>wyroku umarzającego postępowanie;</w:t>
      </w:r>
    </w:p>
    <w:p w14:paraId="226FFFFB" w14:textId="77777777" w:rsidR="00E61894" w:rsidRPr="00E61894" w:rsidRDefault="00E61894" w:rsidP="00E61894">
      <w:pPr>
        <w:pStyle w:val="Akapitzlist"/>
        <w:numPr>
          <w:ilvl w:val="1"/>
          <w:numId w:val="30"/>
        </w:numPr>
        <w:spacing w:after="0" w:line="360" w:lineRule="auto"/>
        <w:jc w:val="both"/>
        <w:rPr>
          <w:rFonts w:ascii="Times New Roman" w:hAnsi="Times New Roman"/>
          <w:sz w:val="23"/>
          <w:szCs w:val="23"/>
        </w:rPr>
      </w:pPr>
      <w:r w:rsidRPr="00E61894">
        <w:rPr>
          <w:rFonts w:ascii="Times New Roman" w:hAnsi="Times New Roman"/>
          <w:sz w:val="23"/>
          <w:szCs w:val="23"/>
        </w:rPr>
        <w:t>wyroku łącznego;</w:t>
      </w:r>
    </w:p>
    <w:p w14:paraId="3DBC12E8" w14:textId="77777777" w:rsidR="00E61894" w:rsidRPr="00E61894" w:rsidRDefault="00E61894" w:rsidP="00E61894">
      <w:pPr>
        <w:pStyle w:val="Akapitzlist"/>
        <w:numPr>
          <w:ilvl w:val="1"/>
          <w:numId w:val="30"/>
        </w:numPr>
        <w:spacing w:after="0" w:line="360" w:lineRule="auto"/>
        <w:jc w:val="both"/>
        <w:rPr>
          <w:rFonts w:ascii="Times New Roman" w:hAnsi="Times New Roman"/>
          <w:sz w:val="23"/>
          <w:szCs w:val="23"/>
        </w:rPr>
      </w:pPr>
      <w:r w:rsidRPr="00E61894">
        <w:rPr>
          <w:rFonts w:ascii="Times New Roman" w:hAnsi="Times New Roman"/>
          <w:sz w:val="23"/>
          <w:szCs w:val="23"/>
        </w:rPr>
        <w:t>postanowienia o uzupełnieniu wyroku w trybie art.420 § 1 i 2 k.p.k.;</w:t>
      </w:r>
    </w:p>
    <w:p w14:paraId="732E1622" w14:textId="77777777" w:rsidR="00E61894" w:rsidRPr="00E61894" w:rsidRDefault="00E61894" w:rsidP="00E61894">
      <w:pPr>
        <w:pStyle w:val="Akapitzlist"/>
        <w:numPr>
          <w:ilvl w:val="1"/>
          <w:numId w:val="30"/>
        </w:numPr>
        <w:spacing w:after="0" w:line="360" w:lineRule="auto"/>
        <w:jc w:val="both"/>
        <w:rPr>
          <w:rFonts w:ascii="Times New Roman" w:hAnsi="Times New Roman"/>
          <w:sz w:val="23"/>
          <w:szCs w:val="23"/>
        </w:rPr>
      </w:pPr>
      <w:r w:rsidRPr="00E61894">
        <w:rPr>
          <w:rFonts w:ascii="Times New Roman" w:hAnsi="Times New Roman"/>
          <w:sz w:val="23"/>
          <w:szCs w:val="23"/>
        </w:rPr>
        <w:t>postanowienia o ustaleniu kosztów procesu w trybie art.626 § 2 k.p.k.;</w:t>
      </w:r>
    </w:p>
    <w:p w14:paraId="4A141DF9" w14:textId="77777777" w:rsidR="00E61894" w:rsidRPr="00E61894" w:rsidRDefault="00E61894" w:rsidP="00E61894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sz w:val="23"/>
          <w:szCs w:val="23"/>
        </w:rPr>
      </w:pPr>
      <w:r w:rsidRPr="00E61894">
        <w:rPr>
          <w:rFonts w:ascii="Times New Roman" w:hAnsi="Times New Roman"/>
          <w:sz w:val="23"/>
          <w:szCs w:val="23"/>
        </w:rPr>
        <w:t>sporządzanie projektów uzasadnień w/w orzeczeń;</w:t>
      </w:r>
    </w:p>
    <w:p w14:paraId="00CEAA9C" w14:textId="77777777" w:rsidR="00E61894" w:rsidRPr="00E61894" w:rsidRDefault="00E61894" w:rsidP="00E61894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sz w:val="23"/>
          <w:szCs w:val="23"/>
        </w:rPr>
      </w:pPr>
      <w:r w:rsidRPr="00E61894">
        <w:rPr>
          <w:rFonts w:ascii="Times New Roman" w:hAnsi="Times New Roman"/>
          <w:sz w:val="23"/>
          <w:szCs w:val="23"/>
        </w:rPr>
        <w:t>obliczanie wydatków poniesionych w toku procesu przez Skarb Państwa.</w:t>
      </w:r>
    </w:p>
    <w:p w14:paraId="62BA4B92" w14:textId="77777777" w:rsidR="001B3F37" w:rsidRPr="00E61894" w:rsidRDefault="001B3F37" w:rsidP="0025415A">
      <w:pPr>
        <w:spacing w:before="120" w:after="0" w:line="360" w:lineRule="auto"/>
        <w:ind w:firstLine="708"/>
        <w:jc w:val="both"/>
        <w:rPr>
          <w:rFonts w:ascii="Times New Roman" w:hAnsi="Times New Roman"/>
          <w:sz w:val="23"/>
          <w:szCs w:val="23"/>
        </w:rPr>
      </w:pPr>
    </w:p>
    <w:p w14:paraId="1FF20618" w14:textId="77777777" w:rsidR="001B3F37" w:rsidRPr="00E61894" w:rsidRDefault="001B3F37" w:rsidP="0025415A">
      <w:pPr>
        <w:spacing w:before="120" w:after="0" w:line="360" w:lineRule="auto"/>
        <w:ind w:firstLine="708"/>
        <w:jc w:val="both"/>
        <w:rPr>
          <w:rFonts w:ascii="Times New Roman" w:hAnsi="Times New Roman"/>
          <w:sz w:val="23"/>
          <w:szCs w:val="23"/>
        </w:rPr>
      </w:pPr>
    </w:p>
    <w:p w14:paraId="62C2AD83" w14:textId="0F81A6AE" w:rsidR="002236D2" w:rsidRDefault="002236D2" w:rsidP="008528E4">
      <w:pPr>
        <w:spacing w:line="36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E61894">
        <w:rPr>
          <w:rFonts w:ascii="Times New Roman" w:hAnsi="Times New Roman"/>
          <w:sz w:val="23"/>
          <w:szCs w:val="23"/>
        </w:rPr>
        <w:lastRenderedPageBreak/>
        <w:t xml:space="preserve">Celowym jest, aby w toku praktyki powierzać aplikantom zróżnicowane zadania, dotyczące możliwie najszerszego spektrum spraw rozpoznawanych w wydziałach </w:t>
      </w:r>
      <w:r w:rsidR="00FF02BB">
        <w:rPr>
          <w:rFonts w:ascii="Times New Roman" w:hAnsi="Times New Roman"/>
          <w:sz w:val="23"/>
          <w:szCs w:val="23"/>
        </w:rPr>
        <w:t>karnych</w:t>
      </w:r>
      <w:r w:rsidRPr="00E61894">
        <w:rPr>
          <w:rFonts w:ascii="Times New Roman" w:hAnsi="Times New Roman"/>
          <w:sz w:val="23"/>
          <w:szCs w:val="23"/>
        </w:rPr>
        <w:t xml:space="preserve"> sądów rejonowych. Ponieważ jednak praktyka ta ma służyć nie tylko nabyciu umiejętności praktycznych, </w:t>
      </w:r>
      <w:r w:rsidR="00175791" w:rsidRPr="00E61894">
        <w:rPr>
          <w:rFonts w:ascii="Times New Roman" w:hAnsi="Times New Roman"/>
          <w:sz w:val="23"/>
          <w:szCs w:val="23"/>
        </w:rPr>
        <w:t>przydatnych przy</w:t>
      </w:r>
      <w:r w:rsidRPr="00E61894">
        <w:rPr>
          <w:rFonts w:ascii="Times New Roman" w:hAnsi="Times New Roman"/>
          <w:sz w:val="23"/>
          <w:szCs w:val="23"/>
        </w:rPr>
        <w:t xml:space="preserve"> </w:t>
      </w:r>
      <w:r w:rsidR="00175791" w:rsidRPr="00E61894">
        <w:rPr>
          <w:rFonts w:ascii="Times New Roman" w:hAnsi="Times New Roman"/>
          <w:sz w:val="23"/>
          <w:szCs w:val="23"/>
        </w:rPr>
        <w:t>wykonywaniu</w:t>
      </w:r>
      <w:r w:rsidRPr="00E61894">
        <w:rPr>
          <w:rFonts w:ascii="Times New Roman" w:hAnsi="Times New Roman"/>
          <w:sz w:val="23"/>
          <w:szCs w:val="23"/>
        </w:rPr>
        <w:t xml:space="preserve"> czynności orzeczniczych, ale przede wszystkim odpowiedniemu przygotowaniu do egzaminu sędziowskiego, szczególny nacisk należy położyć na sporządzanie </w:t>
      </w:r>
      <w:r w:rsidR="00FF02BB" w:rsidRPr="00E61894">
        <w:rPr>
          <w:rFonts w:ascii="Times New Roman" w:hAnsi="Times New Roman"/>
          <w:sz w:val="23"/>
          <w:szCs w:val="23"/>
        </w:rPr>
        <w:t>projekt</w:t>
      </w:r>
      <w:r w:rsidR="00FF02BB">
        <w:rPr>
          <w:rFonts w:ascii="Times New Roman" w:hAnsi="Times New Roman"/>
          <w:sz w:val="23"/>
          <w:szCs w:val="23"/>
        </w:rPr>
        <w:t>ów</w:t>
      </w:r>
      <w:r w:rsidR="00FF02BB" w:rsidRPr="00E61894">
        <w:rPr>
          <w:rFonts w:ascii="Times New Roman" w:hAnsi="Times New Roman"/>
          <w:sz w:val="23"/>
          <w:szCs w:val="23"/>
        </w:rPr>
        <w:t xml:space="preserve"> wyroków </w:t>
      </w:r>
      <w:r w:rsidR="00FF02BB">
        <w:rPr>
          <w:rFonts w:ascii="Times New Roman" w:hAnsi="Times New Roman"/>
          <w:sz w:val="23"/>
          <w:szCs w:val="23"/>
        </w:rPr>
        <w:t xml:space="preserve">wraz z </w:t>
      </w:r>
      <w:r w:rsidR="00FF02BB" w:rsidRPr="00E61894">
        <w:rPr>
          <w:rFonts w:ascii="Times New Roman" w:hAnsi="Times New Roman"/>
          <w:sz w:val="23"/>
          <w:szCs w:val="23"/>
        </w:rPr>
        <w:t xml:space="preserve">ich </w:t>
      </w:r>
      <w:r w:rsidR="00FF02BB">
        <w:rPr>
          <w:rFonts w:ascii="Times New Roman" w:hAnsi="Times New Roman"/>
          <w:sz w:val="23"/>
          <w:szCs w:val="23"/>
        </w:rPr>
        <w:t>pisemnym uzasadnieniem</w:t>
      </w:r>
      <w:r w:rsidR="00175791" w:rsidRPr="00E61894">
        <w:rPr>
          <w:rFonts w:ascii="Times New Roman" w:hAnsi="Times New Roman"/>
          <w:sz w:val="23"/>
          <w:szCs w:val="23"/>
        </w:rPr>
        <w:t>.</w:t>
      </w:r>
      <w:r w:rsidRPr="00E61894">
        <w:rPr>
          <w:rFonts w:ascii="Times New Roman" w:hAnsi="Times New Roman"/>
          <w:sz w:val="23"/>
          <w:szCs w:val="23"/>
        </w:rPr>
        <w:t xml:space="preserve"> </w:t>
      </w:r>
    </w:p>
    <w:p w14:paraId="35B6F9C5" w14:textId="77777777" w:rsidR="005F45C7" w:rsidRPr="00E61894" w:rsidRDefault="005F45C7" w:rsidP="008528E4">
      <w:pPr>
        <w:spacing w:line="360" w:lineRule="auto"/>
        <w:ind w:firstLine="708"/>
        <w:jc w:val="both"/>
        <w:rPr>
          <w:rFonts w:ascii="Times New Roman" w:hAnsi="Times New Roman"/>
          <w:sz w:val="23"/>
          <w:szCs w:val="23"/>
        </w:rPr>
      </w:pPr>
    </w:p>
    <w:p w14:paraId="30C339D0" w14:textId="77777777" w:rsidR="005F45C7" w:rsidRDefault="005F45C7" w:rsidP="005F45C7">
      <w:pPr>
        <w:spacing w:after="100" w:afterAutospacing="1" w:line="360" w:lineRule="auto"/>
        <w:ind w:left="3540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Kierownik Działu Dydaktycznego OAS</w:t>
      </w:r>
    </w:p>
    <w:p w14:paraId="4C8DAD5D" w14:textId="77777777" w:rsidR="005F45C7" w:rsidRDefault="005F45C7" w:rsidP="005F45C7">
      <w:pPr>
        <w:spacing w:after="100" w:afterAutospacing="1" w:line="360" w:lineRule="auto"/>
        <w:ind w:left="3540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dr Agnieszka Pilch</w:t>
      </w:r>
    </w:p>
    <w:p w14:paraId="7240A997" w14:textId="77777777" w:rsidR="005F45C7" w:rsidRDefault="005F45C7" w:rsidP="005F45C7">
      <w:pPr>
        <w:spacing w:after="100" w:afterAutospacing="1" w:line="360" w:lineRule="auto"/>
        <w:ind w:left="3540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sędzia</w:t>
      </w:r>
    </w:p>
    <w:p w14:paraId="17A19B4E" w14:textId="0DFEF0AC" w:rsidR="00775A12" w:rsidRPr="00E61894" w:rsidRDefault="003A5781" w:rsidP="00D30CF1">
      <w:pPr>
        <w:spacing w:line="360" w:lineRule="auto"/>
        <w:ind w:firstLine="708"/>
        <w:jc w:val="both"/>
        <w:rPr>
          <w:rFonts w:ascii="Times New Roman" w:hAnsi="Times New Roman"/>
          <w:sz w:val="23"/>
          <w:szCs w:val="23"/>
        </w:rPr>
      </w:pPr>
    </w:p>
    <w:sectPr w:rsidR="00775A12" w:rsidRPr="00E618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BE54AB" w14:textId="77777777" w:rsidR="003A5781" w:rsidRDefault="003A5781" w:rsidP="00AA67CD">
      <w:pPr>
        <w:spacing w:after="0" w:line="240" w:lineRule="auto"/>
      </w:pPr>
      <w:r>
        <w:separator/>
      </w:r>
    </w:p>
  </w:endnote>
  <w:endnote w:type="continuationSeparator" w:id="0">
    <w:p w14:paraId="440EA9A1" w14:textId="77777777" w:rsidR="003A5781" w:rsidRDefault="003A5781" w:rsidP="00AA6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5DC66E" w14:textId="77777777" w:rsidR="003A5781" w:rsidRDefault="003A5781" w:rsidP="00AA67CD">
      <w:pPr>
        <w:spacing w:after="0" w:line="240" w:lineRule="auto"/>
      </w:pPr>
      <w:r>
        <w:separator/>
      </w:r>
    </w:p>
  </w:footnote>
  <w:footnote w:type="continuationSeparator" w:id="0">
    <w:p w14:paraId="619F13E5" w14:textId="77777777" w:rsidR="003A5781" w:rsidRDefault="003A5781" w:rsidP="00AA67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13A83"/>
    <w:multiLevelType w:val="hybridMultilevel"/>
    <w:tmpl w:val="ECC274D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10892"/>
    <w:multiLevelType w:val="hybridMultilevel"/>
    <w:tmpl w:val="FC42F622"/>
    <w:lvl w:ilvl="0" w:tplc="138086C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F36ECA"/>
    <w:multiLevelType w:val="hybridMultilevel"/>
    <w:tmpl w:val="17E400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BF67B4B"/>
    <w:multiLevelType w:val="hybridMultilevel"/>
    <w:tmpl w:val="9378CD58"/>
    <w:lvl w:ilvl="0" w:tplc="A4060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111AD1"/>
    <w:multiLevelType w:val="hybridMultilevel"/>
    <w:tmpl w:val="EE04C34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DE01D9"/>
    <w:multiLevelType w:val="hybridMultilevel"/>
    <w:tmpl w:val="A836B05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A73CBE"/>
    <w:multiLevelType w:val="hybridMultilevel"/>
    <w:tmpl w:val="2258CB30"/>
    <w:lvl w:ilvl="0" w:tplc="90B61B5C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EC23B8E"/>
    <w:multiLevelType w:val="hybridMultilevel"/>
    <w:tmpl w:val="D48EE00E"/>
    <w:lvl w:ilvl="0" w:tplc="356CC90E">
      <w:start w:val="1"/>
      <w:numFmt w:val="bullet"/>
      <w:lvlText w:val=""/>
      <w:lvlJc w:val="left"/>
      <w:pPr>
        <w:ind w:left="114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8">
    <w:nsid w:val="260F3B21"/>
    <w:multiLevelType w:val="hybridMultilevel"/>
    <w:tmpl w:val="6D06F0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6D025B0"/>
    <w:multiLevelType w:val="hybridMultilevel"/>
    <w:tmpl w:val="D144AA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4C7B0E"/>
    <w:multiLevelType w:val="hybridMultilevel"/>
    <w:tmpl w:val="6290AD9A"/>
    <w:lvl w:ilvl="0" w:tplc="58B69FE6">
      <w:start w:val="1"/>
      <w:numFmt w:val="upperLetter"/>
      <w:lvlText w:val="%1)"/>
      <w:lvlJc w:val="left"/>
      <w:pPr>
        <w:ind w:left="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58B69FE6">
      <w:start w:val="1"/>
      <w:numFmt w:val="upperLetter"/>
      <w:lvlText w:val="%3)"/>
      <w:lvlJc w:val="left"/>
      <w:pPr>
        <w:ind w:left="144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">
    <w:nsid w:val="37B27783"/>
    <w:multiLevelType w:val="hybridMultilevel"/>
    <w:tmpl w:val="1DB88E6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32767D"/>
    <w:multiLevelType w:val="hybridMultilevel"/>
    <w:tmpl w:val="B5C48FA4"/>
    <w:lvl w:ilvl="0" w:tplc="1156727A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C217989"/>
    <w:multiLevelType w:val="hybridMultilevel"/>
    <w:tmpl w:val="0F70B8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1603310"/>
    <w:multiLevelType w:val="hybridMultilevel"/>
    <w:tmpl w:val="2E66781C"/>
    <w:lvl w:ilvl="0" w:tplc="356CC9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66E3854"/>
    <w:multiLevelType w:val="hybridMultilevel"/>
    <w:tmpl w:val="46DE12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7793590"/>
    <w:multiLevelType w:val="hybridMultilevel"/>
    <w:tmpl w:val="E8185C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575DF0"/>
    <w:multiLevelType w:val="hybridMultilevel"/>
    <w:tmpl w:val="C3AC15A6"/>
    <w:lvl w:ilvl="0" w:tplc="4490DE5A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6E4FEE"/>
    <w:multiLevelType w:val="hybridMultilevel"/>
    <w:tmpl w:val="68781BA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4C286D"/>
    <w:multiLevelType w:val="hybridMultilevel"/>
    <w:tmpl w:val="F790103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D44C78"/>
    <w:multiLevelType w:val="hybridMultilevel"/>
    <w:tmpl w:val="B57862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F022A6A"/>
    <w:multiLevelType w:val="hybridMultilevel"/>
    <w:tmpl w:val="2E1EC122"/>
    <w:lvl w:ilvl="0" w:tplc="627800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5A65AEA"/>
    <w:multiLevelType w:val="hybridMultilevel"/>
    <w:tmpl w:val="FFF4D588"/>
    <w:lvl w:ilvl="0" w:tplc="946A17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696231"/>
    <w:multiLevelType w:val="hybridMultilevel"/>
    <w:tmpl w:val="809417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8666A26"/>
    <w:multiLevelType w:val="hybridMultilevel"/>
    <w:tmpl w:val="9514C3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9A5320"/>
    <w:multiLevelType w:val="hybridMultilevel"/>
    <w:tmpl w:val="73225768"/>
    <w:lvl w:ilvl="0" w:tplc="356CC90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721E34C1"/>
    <w:multiLevelType w:val="hybridMultilevel"/>
    <w:tmpl w:val="4C7E003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6D49A0"/>
    <w:multiLevelType w:val="hybridMultilevel"/>
    <w:tmpl w:val="77FED186"/>
    <w:lvl w:ilvl="0" w:tplc="356CC9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5EF1F2A"/>
    <w:multiLevelType w:val="hybridMultilevel"/>
    <w:tmpl w:val="AFDE72FA"/>
    <w:lvl w:ilvl="0" w:tplc="96CCBD46">
      <w:start w:val="1"/>
      <w:numFmt w:val="lowerLetter"/>
      <w:lvlText w:val="%1."/>
      <w:lvlJc w:val="left"/>
      <w:pPr>
        <w:ind w:left="108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FB10509"/>
    <w:multiLevelType w:val="hybridMultilevel"/>
    <w:tmpl w:val="AA3E8758"/>
    <w:lvl w:ilvl="0" w:tplc="356CC90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1"/>
  </w:num>
  <w:num w:numId="4">
    <w:abstractNumId w:val="25"/>
  </w:num>
  <w:num w:numId="5">
    <w:abstractNumId w:val="27"/>
  </w:num>
  <w:num w:numId="6">
    <w:abstractNumId w:val="10"/>
  </w:num>
  <w:num w:numId="7">
    <w:abstractNumId w:val="26"/>
  </w:num>
  <w:num w:numId="8">
    <w:abstractNumId w:val="13"/>
  </w:num>
  <w:num w:numId="9">
    <w:abstractNumId w:val="9"/>
  </w:num>
  <w:num w:numId="10">
    <w:abstractNumId w:val="29"/>
  </w:num>
  <w:num w:numId="11">
    <w:abstractNumId w:val="7"/>
  </w:num>
  <w:num w:numId="12">
    <w:abstractNumId w:val="12"/>
  </w:num>
  <w:num w:numId="13">
    <w:abstractNumId w:val="15"/>
  </w:num>
  <w:num w:numId="14">
    <w:abstractNumId w:val="22"/>
  </w:num>
  <w:num w:numId="15">
    <w:abstractNumId w:val="2"/>
  </w:num>
  <w:num w:numId="16">
    <w:abstractNumId w:val="17"/>
  </w:num>
  <w:num w:numId="17">
    <w:abstractNumId w:val="11"/>
  </w:num>
  <w:num w:numId="18">
    <w:abstractNumId w:val="4"/>
  </w:num>
  <w:num w:numId="19">
    <w:abstractNumId w:val="19"/>
  </w:num>
  <w:num w:numId="20">
    <w:abstractNumId w:val="5"/>
  </w:num>
  <w:num w:numId="21">
    <w:abstractNumId w:val="23"/>
  </w:num>
  <w:num w:numId="22">
    <w:abstractNumId w:val="18"/>
  </w:num>
  <w:num w:numId="23">
    <w:abstractNumId w:val="24"/>
  </w:num>
  <w:num w:numId="24">
    <w:abstractNumId w:val="21"/>
  </w:num>
  <w:num w:numId="25">
    <w:abstractNumId w:val="0"/>
  </w:num>
  <w:num w:numId="26">
    <w:abstractNumId w:val="6"/>
  </w:num>
  <w:num w:numId="27">
    <w:abstractNumId w:val="28"/>
  </w:num>
  <w:num w:numId="28">
    <w:abstractNumId w:val="16"/>
  </w:num>
  <w:num w:numId="29">
    <w:abstractNumId w:val="20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A8C"/>
    <w:rsid w:val="000005CF"/>
    <w:rsid w:val="00033D1D"/>
    <w:rsid w:val="0007109E"/>
    <w:rsid w:val="0008304C"/>
    <w:rsid w:val="00085E89"/>
    <w:rsid w:val="00087CAB"/>
    <w:rsid w:val="000B4B61"/>
    <w:rsid w:val="000D378A"/>
    <w:rsid w:val="000D592A"/>
    <w:rsid w:val="00150D16"/>
    <w:rsid w:val="00175791"/>
    <w:rsid w:val="00195D0B"/>
    <w:rsid w:val="001B3F37"/>
    <w:rsid w:val="001C5C56"/>
    <w:rsid w:val="001D5E58"/>
    <w:rsid w:val="001E5109"/>
    <w:rsid w:val="001F76A3"/>
    <w:rsid w:val="00200FA4"/>
    <w:rsid w:val="002236D2"/>
    <w:rsid w:val="00225D11"/>
    <w:rsid w:val="00225EE4"/>
    <w:rsid w:val="0025415A"/>
    <w:rsid w:val="00271AD3"/>
    <w:rsid w:val="00283E78"/>
    <w:rsid w:val="002A77D9"/>
    <w:rsid w:val="002C378A"/>
    <w:rsid w:val="00334EFD"/>
    <w:rsid w:val="00352157"/>
    <w:rsid w:val="0035602F"/>
    <w:rsid w:val="00374436"/>
    <w:rsid w:val="003A5781"/>
    <w:rsid w:val="003A6CEB"/>
    <w:rsid w:val="003C148A"/>
    <w:rsid w:val="003D6D42"/>
    <w:rsid w:val="00417D3D"/>
    <w:rsid w:val="00441EA9"/>
    <w:rsid w:val="00455BE4"/>
    <w:rsid w:val="004575BD"/>
    <w:rsid w:val="004671A9"/>
    <w:rsid w:val="0047531E"/>
    <w:rsid w:val="0049107A"/>
    <w:rsid w:val="004B5494"/>
    <w:rsid w:val="004C0C5C"/>
    <w:rsid w:val="004C2C39"/>
    <w:rsid w:val="004D56EE"/>
    <w:rsid w:val="004E6277"/>
    <w:rsid w:val="004F62D8"/>
    <w:rsid w:val="005165E2"/>
    <w:rsid w:val="00534FC5"/>
    <w:rsid w:val="00572EA7"/>
    <w:rsid w:val="005800A4"/>
    <w:rsid w:val="00582D9A"/>
    <w:rsid w:val="00584A70"/>
    <w:rsid w:val="005C6488"/>
    <w:rsid w:val="005E4707"/>
    <w:rsid w:val="005F45C7"/>
    <w:rsid w:val="00601198"/>
    <w:rsid w:val="006123CB"/>
    <w:rsid w:val="00670151"/>
    <w:rsid w:val="00672B9E"/>
    <w:rsid w:val="0067695C"/>
    <w:rsid w:val="00677673"/>
    <w:rsid w:val="00682245"/>
    <w:rsid w:val="00694CE4"/>
    <w:rsid w:val="0069729D"/>
    <w:rsid w:val="006B1A06"/>
    <w:rsid w:val="006D0402"/>
    <w:rsid w:val="006D3339"/>
    <w:rsid w:val="006D7F5D"/>
    <w:rsid w:val="006E6B11"/>
    <w:rsid w:val="006F47BE"/>
    <w:rsid w:val="007007FA"/>
    <w:rsid w:val="00720290"/>
    <w:rsid w:val="00731530"/>
    <w:rsid w:val="00734D54"/>
    <w:rsid w:val="0075312A"/>
    <w:rsid w:val="0075750E"/>
    <w:rsid w:val="007B1BAB"/>
    <w:rsid w:val="007B6F11"/>
    <w:rsid w:val="007C3A8C"/>
    <w:rsid w:val="007E2C48"/>
    <w:rsid w:val="007E3D9E"/>
    <w:rsid w:val="007F28CC"/>
    <w:rsid w:val="00810460"/>
    <w:rsid w:val="00847DED"/>
    <w:rsid w:val="008528E4"/>
    <w:rsid w:val="00862406"/>
    <w:rsid w:val="0088627E"/>
    <w:rsid w:val="008C3394"/>
    <w:rsid w:val="008F18D4"/>
    <w:rsid w:val="008F2884"/>
    <w:rsid w:val="009135B9"/>
    <w:rsid w:val="0093652D"/>
    <w:rsid w:val="0095664A"/>
    <w:rsid w:val="00956B79"/>
    <w:rsid w:val="0097063B"/>
    <w:rsid w:val="00980221"/>
    <w:rsid w:val="009B1E68"/>
    <w:rsid w:val="009B3CA4"/>
    <w:rsid w:val="009D2102"/>
    <w:rsid w:val="009E0CFB"/>
    <w:rsid w:val="009F081C"/>
    <w:rsid w:val="00A24D29"/>
    <w:rsid w:val="00A322B3"/>
    <w:rsid w:val="00A35520"/>
    <w:rsid w:val="00A531CC"/>
    <w:rsid w:val="00A744FB"/>
    <w:rsid w:val="00A76E09"/>
    <w:rsid w:val="00AA67CD"/>
    <w:rsid w:val="00AB1CA4"/>
    <w:rsid w:val="00AB7C04"/>
    <w:rsid w:val="00AC6C80"/>
    <w:rsid w:val="00AC7DA6"/>
    <w:rsid w:val="00B03962"/>
    <w:rsid w:val="00B27341"/>
    <w:rsid w:val="00B45F7E"/>
    <w:rsid w:val="00B76CC2"/>
    <w:rsid w:val="00B81B62"/>
    <w:rsid w:val="00B82E2A"/>
    <w:rsid w:val="00B92422"/>
    <w:rsid w:val="00BC7ED9"/>
    <w:rsid w:val="00BD1CAA"/>
    <w:rsid w:val="00C00A33"/>
    <w:rsid w:val="00C048ED"/>
    <w:rsid w:val="00C10CF5"/>
    <w:rsid w:val="00C11966"/>
    <w:rsid w:val="00C32AE5"/>
    <w:rsid w:val="00C377A6"/>
    <w:rsid w:val="00C63513"/>
    <w:rsid w:val="00C66B40"/>
    <w:rsid w:val="00CB001C"/>
    <w:rsid w:val="00CB625D"/>
    <w:rsid w:val="00CD1CF8"/>
    <w:rsid w:val="00CF0E5C"/>
    <w:rsid w:val="00D150AE"/>
    <w:rsid w:val="00D22A5C"/>
    <w:rsid w:val="00D30CF1"/>
    <w:rsid w:val="00D6448C"/>
    <w:rsid w:val="00D84572"/>
    <w:rsid w:val="00DD3B36"/>
    <w:rsid w:val="00DD6365"/>
    <w:rsid w:val="00DF5552"/>
    <w:rsid w:val="00E21758"/>
    <w:rsid w:val="00E400BC"/>
    <w:rsid w:val="00E50BD4"/>
    <w:rsid w:val="00E50EE1"/>
    <w:rsid w:val="00E61894"/>
    <w:rsid w:val="00E67DC7"/>
    <w:rsid w:val="00E7483E"/>
    <w:rsid w:val="00E76B98"/>
    <w:rsid w:val="00E8061D"/>
    <w:rsid w:val="00E84918"/>
    <w:rsid w:val="00EB0235"/>
    <w:rsid w:val="00EB04D5"/>
    <w:rsid w:val="00EB4D82"/>
    <w:rsid w:val="00EC32E2"/>
    <w:rsid w:val="00ED4AFC"/>
    <w:rsid w:val="00EE39CA"/>
    <w:rsid w:val="00F053FD"/>
    <w:rsid w:val="00F3691A"/>
    <w:rsid w:val="00F36BCE"/>
    <w:rsid w:val="00F500DD"/>
    <w:rsid w:val="00FA63EE"/>
    <w:rsid w:val="00FF02BB"/>
    <w:rsid w:val="00FF5226"/>
    <w:rsid w:val="00FF6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817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3A8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unhideWhenUsed/>
    <w:rsid w:val="007C3A8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7C3A8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C3A8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67C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67CD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67C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202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02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029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02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0290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0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0290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3A8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unhideWhenUsed/>
    <w:rsid w:val="007C3A8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7C3A8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C3A8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67C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67CD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67C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202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02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029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02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0290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0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029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4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1AAC5-904D-4704-9007-8F74B05AB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632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4416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Semeniuk</dc:creator>
  <cp:lastModifiedBy>kssip</cp:lastModifiedBy>
  <cp:revision>2</cp:revision>
  <dcterms:created xsi:type="dcterms:W3CDTF">2020-12-15T12:10:00Z</dcterms:created>
  <dcterms:modified xsi:type="dcterms:W3CDTF">2020-12-15T12:10:00Z</dcterms:modified>
</cp:coreProperties>
</file>