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A7" w:rsidRDefault="004B2BA7" w:rsidP="004B2BA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w:t>
      </w:r>
      <w:r w:rsidR="00EE3EE5">
        <w:rPr>
          <w:rFonts w:ascii="Times New Roman" w:eastAsia="Times New Roman" w:hAnsi="Times New Roman" w:cs="Times New Roman"/>
          <w:sz w:val="24"/>
          <w:szCs w:val="24"/>
          <w:lang w:eastAsia="pl-PL"/>
        </w:rPr>
        <w:t xml:space="preserve">20.10.2020 </w:t>
      </w:r>
      <w:r w:rsidR="00EE3EE5">
        <w:rPr>
          <w:rFonts w:ascii="Times New Roman" w:eastAsia="Times New Roman" w:hAnsi="Times New Roman" w:cs="Times New Roman"/>
          <w:sz w:val="24"/>
          <w:szCs w:val="24"/>
          <w:lang w:eastAsia="pl-PL"/>
        </w:rPr>
        <w:tab/>
      </w:r>
      <w:r w:rsidR="00EE3EE5">
        <w:rPr>
          <w:rFonts w:ascii="Times New Roman" w:eastAsia="Times New Roman" w:hAnsi="Times New Roman" w:cs="Times New Roman"/>
          <w:sz w:val="24"/>
          <w:szCs w:val="24"/>
          <w:lang w:eastAsia="pl-PL"/>
        </w:rPr>
        <w:tab/>
      </w:r>
      <w:r w:rsidR="00EE3EE5">
        <w:rPr>
          <w:rFonts w:ascii="Times New Roman" w:eastAsia="Times New Roman" w:hAnsi="Times New Roman" w:cs="Times New Roman"/>
          <w:sz w:val="24"/>
          <w:szCs w:val="24"/>
          <w:lang w:eastAsia="pl-PL"/>
        </w:rPr>
        <w:tab/>
      </w:r>
      <w:r w:rsidR="00EE3EE5">
        <w:rPr>
          <w:rFonts w:ascii="Times New Roman" w:eastAsia="Times New Roman" w:hAnsi="Times New Roman" w:cs="Times New Roman"/>
          <w:sz w:val="24"/>
          <w:szCs w:val="24"/>
          <w:lang w:eastAsia="pl-PL"/>
        </w:rPr>
        <w:tab/>
      </w:r>
      <w:r w:rsidR="00EE3EE5">
        <w:rPr>
          <w:rFonts w:ascii="Times New Roman" w:eastAsia="Times New Roman" w:hAnsi="Times New Roman" w:cs="Times New Roman"/>
          <w:sz w:val="24"/>
          <w:szCs w:val="24"/>
          <w:lang w:eastAsia="pl-PL"/>
        </w:rPr>
        <w:tab/>
      </w:r>
      <w:r w:rsidR="00EE3EE5">
        <w:rPr>
          <w:rFonts w:ascii="Times New Roman" w:eastAsia="Times New Roman" w:hAnsi="Times New Roman" w:cs="Times New Roman"/>
          <w:sz w:val="24"/>
          <w:szCs w:val="24"/>
          <w:lang w:eastAsia="pl-PL"/>
        </w:rPr>
        <w:tab/>
        <w:t>Kraków, dnia 17</w:t>
      </w:r>
      <w:bookmarkStart w:id="0" w:name="_GoBack"/>
      <w:bookmarkEnd w:id="0"/>
      <w:r>
        <w:rPr>
          <w:rFonts w:ascii="Times New Roman" w:eastAsia="Times New Roman" w:hAnsi="Times New Roman" w:cs="Times New Roman"/>
          <w:sz w:val="24"/>
          <w:szCs w:val="24"/>
          <w:lang w:eastAsia="pl-PL"/>
        </w:rPr>
        <w:t xml:space="preserve"> lipca 2020 r.</w:t>
      </w:r>
    </w:p>
    <w:p w:rsidR="004B2BA7" w:rsidRDefault="004B2BA7" w:rsidP="004B2BA7">
      <w:pPr>
        <w:spacing w:after="0" w:line="360" w:lineRule="auto"/>
        <w:rPr>
          <w:rFonts w:ascii="Times New Roman" w:eastAsia="Times New Roman" w:hAnsi="Times New Roman" w:cs="Times New Roman"/>
          <w:sz w:val="24"/>
          <w:szCs w:val="24"/>
          <w:lang w:eastAsia="pl-PL"/>
        </w:rPr>
      </w:pP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4B2BA7" w:rsidRDefault="004B2BA7" w:rsidP="004B2BA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4B2BA7" w:rsidRDefault="004B2BA7" w:rsidP="004B2BA7">
      <w:pPr>
        <w:spacing w:after="0" w:line="240" w:lineRule="auto"/>
        <w:ind w:left="4248"/>
        <w:rPr>
          <w:rFonts w:ascii="Times New Roman" w:eastAsia="Times New Roman" w:hAnsi="Times New Roman" w:cs="Times New Roman"/>
          <w:b/>
          <w:sz w:val="24"/>
          <w:szCs w:val="24"/>
          <w:lang w:eastAsia="pl-PL"/>
        </w:rPr>
      </w:pPr>
    </w:p>
    <w:p w:rsidR="004B2BA7" w:rsidRDefault="004B2BA7" w:rsidP="004B2BA7">
      <w:pPr>
        <w:spacing w:after="0" w:line="360" w:lineRule="auto"/>
        <w:jc w:val="both"/>
        <w:rPr>
          <w:rFonts w:ascii="Times New Roman" w:eastAsia="Times New Roman" w:hAnsi="Times New Roman" w:cs="Times New Roman"/>
          <w:sz w:val="24"/>
          <w:szCs w:val="24"/>
          <w:lang w:eastAsia="pl-PL"/>
        </w:rPr>
      </w:pPr>
    </w:p>
    <w:p w:rsidR="004B2BA7" w:rsidRDefault="004B2BA7" w:rsidP="004B2BA7">
      <w:pPr>
        <w:spacing w:after="0" w:line="360" w:lineRule="auto"/>
        <w:jc w:val="both"/>
        <w:rPr>
          <w:rFonts w:ascii="Times New Roman" w:eastAsia="Times New Roman" w:hAnsi="Times New Roman" w:cs="Times New Roman"/>
          <w:b/>
          <w:i/>
          <w:sz w:val="24"/>
          <w:szCs w:val="24"/>
          <w:lang w:eastAsia="pl-PL"/>
        </w:rPr>
      </w:pPr>
    </w:p>
    <w:p w:rsidR="004B2BA7" w:rsidRDefault="004B2BA7" w:rsidP="004B2BA7">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9. rocznika aplikacji prokuratorskiej po XXVII zjeździe</w:t>
      </w:r>
    </w:p>
    <w:p w:rsidR="004B2BA7" w:rsidRDefault="004B2BA7" w:rsidP="004B2BA7">
      <w:pPr>
        <w:spacing w:after="0" w:line="360" w:lineRule="auto"/>
        <w:jc w:val="both"/>
        <w:rPr>
          <w:rFonts w:ascii="Times New Roman" w:eastAsia="Times New Roman" w:hAnsi="Times New Roman" w:cs="Times New Roman"/>
          <w:b/>
          <w:i/>
          <w:sz w:val="24"/>
          <w:szCs w:val="24"/>
          <w:lang w:eastAsia="pl-PL"/>
        </w:rPr>
      </w:pPr>
    </w:p>
    <w:p w:rsidR="004B2BA7" w:rsidRDefault="004B2BA7" w:rsidP="004B2BA7">
      <w:pPr>
        <w:spacing w:after="0" w:line="360" w:lineRule="auto"/>
        <w:jc w:val="both"/>
        <w:rPr>
          <w:rFonts w:ascii="Times New Roman" w:eastAsia="Times New Roman" w:hAnsi="Times New Roman" w:cs="Times New Roman"/>
          <w:b/>
          <w:i/>
          <w:sz w:val="24"/>
          <w:szCs w:val="24"/>
          <w:lang w:eastAsia="pl-PL"/>
        </w:rPr>
      </w:pP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  prokuraturach rejonowych lub okręgowych u prokuratorów wykonujących zadania z zakresu prawa administracyjnego (w okresie od 31 sierpnia do 11 września 2020 roku), oraz Wydziałach Gospodarczych Krajowego Rejestru Sadowego sądu rejonowego (w okresie od 14 do 18 września 2020 roku).</w:t>
      </w: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XXVII zjazdu aplikacji prokuratorskiej, który odbył się w sposób zdalny w dniach 27-30 kwietnia 2020 roku, były następujące zagadnienia:</w:t>
      </w:r>
    </w:p>
    <w:p w:rsidR="004B2BA7" w:rsidRPr="004B2BA7" w:rsidRDefault="004B2BA7" w:rsidP="004B2BA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Prawo gospodarcze </w:t>
      </w:r>
    </w:p>
    <w:p w:rsidR="004B2BA7" w:rsidRPr="004B2BA7" w:rsidRDefault="004B2BA7" w:rsidP="004B2BA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Zasady podejmowania i prowadzenia działalności gospodarczej. </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Pojęcie obrotu gospodarczego. Pojęcie działalności gospodarczej. Zasada wolności działalności gospodarczej. Wolność gospodarcza w Konstytucji i prawie unijnym. Podejmowanie działalności gospodarczej. Zasady prowadzenia działalności gospodarczej. Ograniczenia  w swobodzie prowadzenia działalności gospodarczej. </w:t>
      </w:r>
    </w:p>
    <w:p w:rsidR="004B2BA7" w:rsidRPr="004B2BA7" w:rsidRDefault="004B2BA7" w:rsidP="004B2BA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Przedsiębiorcy, organizacje non profit i non for profit oraz inne podmioty w działalności gospodarczej</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Pojęcie przedsiębiorcy i przedsiębiorstwa. Organizacyjno-prawne formy prowadzenia działalności gospodarczej. Rejestr przedsiębiorców Krajowego Rejestru Sądowego, podmioty podlegające wpisowi i działy rejestru. Centralna Ewidencja i Informacja o Działalności Gospodarczej.</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p>
    <w:p w:rsidR="004B2BA7" w:rsidRPr="004B2BA7" w:rsidRDefault="004B2BA7" w:rsidP="004B2BA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Obligacje i inne instrumenty finansowe</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Obligacje – zasady emisji i rodzaje obligacji, przepisy karne. </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Publiczny obrót instrumentami finansowymi – oferta publiczna, organizacja obrotu giełdowego, funkcje i zadania Komisji Nadzoru Finansowego, działalność maklerska, Krajowy Depozyt Papierów Wartościowych, tajemnica zawodowa i informacje poufne, przepisy karne. </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Fundusze inwestycyjne – towarzystwo funduszy inwestycyjnych, rodzaje funduszy i ich funkcje, przepisy karne. </w:t>
      </w:r>
    </w:p>
    <w:p w:rsidR="004B2BA7" w:rsidRPr="004B2BA7" w:rsidRDefault="004B2BA7" w:rsidP="004B2BA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Działalność ubezpieczeniowa</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Wykonywanie działalności ubezpieczeniowej, przesłanki odpowiedzialności ubezpieczyciela, przepisy karne.</w:t>
      </w:r>
    </w:p>
    <w:p w:rsidR="004B2BA7" w:rsidRPr="004B2BA7" w:rsidRDefault="004B2BA7" w:rsidP="004B2BA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Udział prokuratora w sprawach z zakresu prawa administracyjnego – wybrane regulacje</w:t>
      </w:r>
    </w:p>
    <w:p w:rsidR="004B2BA7" w:rsidRPr="004B2BA7" w:rsidRDefault="004B2BA7" w:rsidP="004B2BA7">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Prawo materialne – wybrane zagadnienia ustaw:</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z dnia 27 marca 2003 r. o planowaniu i zagospodarowaniu przestrzennym (Dz. U. </w:t>
      </w:r>
      <w:r>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z 2017 r., poz. 1073);</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z dnia 7 lipca 1994 r. – Prawo budowlane (</w:t>
      </w:r>
      <w:proofErr w:type="spellStart"/>
      <w:r w:rsidRPr="004B2BA7">
        <w:rPr>
          <w:rFonts w:ascii="Times New Roman" w:eastAsia="Times New Roman" w:hAnsi="Times New Roman" w:cs="Times New Roman"/>
          <w:sz w:val="24"/>
          <w:szCs w:val="24"/>
          <w:lang w:eastAsia="pl-PL"/>
        </w:rPr>
        <w:t>t.j</w:t>
      </w:r>
      <w:proofErr w:type="spellEnd"/>
      <w:r w:rsidRPr="004B2BA7">
        <w:rPr>
          <w:rFonts w:ascii="Times New Roman" w:eastAsia="Times New Roman" w:hAnsi="Times New Roman" w:cs="Times New Roman"/>
          <w:sz w:val="24"/>
          <w:szCs w:val="24"/>
          <w:lang w:eastAsia="pl-PL"/>
        </w:rPr>
        <w:t xml:space="preserve">. Dz. U. 2017 r., poz.1332)  – </w:t>
      </w:r>
      <w:r>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 xml:space="preserve">z uwzględnieniem niezbędnych instytucji uregulowanych w ustawie z dnia 3 października 2008 r. o udostępnianiu informacji o środowisku i jego ochronie, udziale społeczeństwa w ochronie środowiska oraz o ocenach oddziaływania na środowisko (Dz. U. z 2016 r., poz. 353 z </w:t>
      </w:r>
      <w:proofErr w:type="spellStart"/>
      <w:r w:rsidRPr="004B2BA7">
        <w:rPr>
          <w:rFonts w:ascii="Times New Roman" w:eastAsia="Times New Roman" w:hAnsi="Times New Roman" w:cs="Times New Roman"/>
          <w:sz w:val="24"/>
          <w:szCs w:val="24"/>
          <w:lang w:eastAsia="pl-PL"/>
        </w:rPr>
        <w:t>późn</w:t>
      </w:r>
      <w:proofErr w:type="spellEnd"/>
      <w:r w:rsidRPr="004B2BA7">
        <w:rPr>
          <w:rFonts w:ascii="Times New Roman" w:eastAsia="Times New Roman" w:hAnsi="Times New Roman" w:cs="Times New Roman"/>
          <w:sz w:val="24"/>
          <w:szCs w:val="24"/>
          <w:lang w:eastAsia="pl-PL"/>
        </w:rPr>
        <w:t>. zm.). i w ustawie z dnia 23 lipca 2003 r. o ochronie zabytków i opiece nad zabytkami (Dz. U. z 2014 r., poz.1446 ze zm.);</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z dnia 21 sierpnia 1997 r. o gospodarce nieruchomościami (Dz. U. 2016 r., poz. 2147).</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Prawo procesowe – wybrane zagadnienia Kodeksu postępowania administracyjnego (ustawa z dnia 14 czerwca 1960 r., Dz. U. z 2017 r., poz. 1257)</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p>
    <w:p w:rsidR="004B2BA7" w:rsidRPr="004B2BA7" w:rsidRDefault="004B2BA7" w:rsidP="004B2BA7">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Udział prokuratora w postępowaniu administracyjnym.</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Zasady udziału prokuratora w postępowaniu administracyjnym. Formy udziału: żądanie wszczęcia postępowania, zgłoszenie udziału, wzruszanie rozstrzygnięć ostatecznych – sprzeciw, sprzeciw a odwołanie. Regulacje szczególne zawarte w przepisach Regulaminu wewnętrznego urzędowania powszechnych jednostek organizacyjnych prokuratury.</w:t>
      </w: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u prokuratorów wykonujących zadania z zakresu prawa administracyjnego</w:t>
      </w:r>
      <w:r w:rsidRPr="004B2BA7">
        <w:rPr>
          <w:rFonts w:ascii="Times New Roman" w:eastAsia="Times New Roman" w:hAnsi="Times New Roman" w:cs="Times New Roman"/>
          <w:sz w:val="24"/>
          <w:szCs w:val="24"/>
          <w:lang w:eastAsia="pl-PL"/>
        </w:rPr>
        <w:t xml:space="preserve"> jest nabycie umiejętności opracowywania wniosków o wszczęcie postępowania administracyjnego oraz zwyczajnych i nadzwyczajnych środków zaskarżenia, a także zapoznanie aplikantów z metodyką pracy prokuratorów, którym powierzono zadania z zakresu prawa administracyjnego, ze szczególnym uwzględnieniem działań w sprawach, w których prokurator sporządza sprzeciw od ostatecznej decyzji administracyjnej</w:t>
      </w:r>
      <w:r>
        <w:rPr>
          <w:rFonts w:ascii="Times New Roman" w:eastAsia="Times New Roman" w:hAnsi="Times New Roman" w:cs="Times New Roman"/>
          <w:sz w:val="24"/>
          <w:szCs w:val="24"/>
          <w:lang w:eastAsia="pl-PL"/>
        </w:rPr>
        <w:t>.</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 związku z powyższym aplikanci powinni w trakcie praktyk nabyć umiejętności obejmujące:</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rejestrowanie spraw „Pa” poprzez zapoznanie się z urządzeniami rejestrowymi, sposobem dekretowania spraw, techniką wyłączania materiałów z postępowania karnego, zakładania akt nowej sprawy „Pa” i zasadami jej wykreślania z urządzeń ewidencyjnych jako sprawy zakończonej,</w:t>
      </w:r>
    </w:p>
    <w:p w:rsidR="008C5233"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t>
      </w:r>
      <w:r w:rsidR="008C5233">
        <w:rPr>
          <w:rFonts w:ascii="Times New Roman" w:eastAsia="Times New Roman" w:hAnsi="Times New Roman" w:cs="Times New Roman"/>
          <w:sz w:val="24"/>
          <w:szCs w:val="24"/>
          <w:lang w:eastAsia="pl-PL"/>
        </w:rPr>
        <w:t xml:space="preserve"> zapoznanie zasadami i formami udziału prokuratora w postepowaniu administracyjnym oraz zapoznanie z aktami spraw administracyjnych prowadzonych </w:t>
      </w:r>
      <w:r w:rsidR="008C5233">
        <w:rPr>
          <w:rFonts w:ascii="Times New Roman" w:eastAsia="Times New Roman" w:hAnsi="Times New Roman" w:cs="Times New Roman"/>
          <w:sz w:val="24"/>
          <w:szCs w:val="24"/>
          <w:lang w:eastAsia="pl-PL"/>
        </w:rPr>
        <w:br/>
        <w:t>w powszechnych jednostkach organizacyjnych prokuratur,</w:t>
      </w:r>
    </w:p>
    <w:p w:rsidR="004B2BA7" w:rsidRPr="004B2BA7" w:rsidRDefault="008C5233" w:rsidP="004B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B2BA7" w:rsidRPr="004B2BA7">
        <w:rPr>
          <w:rFonts w:ascii="Times New Roman" w:eastAsia="Times New Roman" w:hAnsi="Times New Roman" w:cs="Times New Roman"/>
          <w:sz w:val="24"/>
          <w:szCs w:val="24"/>
          <w:lang w:eastAsia="pl-PL"/>
        </w:rPr>
        <w:t>planowanie czynności podejmowanych przez prokuratora w reakcji na wniosek osób o podjęcie czynności w trybie postępowania administracyjnego lub sądowo-administracyjnego oraz w sprawach wyłączonych na odcinku „Pa” lub z prowadzonych bądź nadzorowanych spraw karnych,</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opracowywanie stosownych pism (z uwzględnieniem podstawy prawnej), kierowanych w takich sprawach do właściwych organów-instytucji, o nadesłanie dokumentów, które mogą być niezbędne do prawidłowego rozpoznania wniosku (np. pisma o nadesłanie akt),</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ocenę zgromadzonego w sprawie „Pa” materiału celem ustalenia, czy uzasadnia on konieczność podjęcia przez prokuratora w danej sprawie dalszych czynności, ich rodzaju oraz opracowanie projektu pisma prokuratora do właściwego organu administracji lub sądu bądź odpowiedzi do zainteresowanego o braku podstaw do czynności prokuratora w sprawie,</w:t>
      </w:r>
    </w:p>
    <w:p w:rsidR="004B2BA7" w:rsidRP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sporządzanie wniosku o wszczęcie postępowania administracyjnego, środków odwoławczych oraz sprzeciwów od decyzji ostatecznych.</w:t>
      </w: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 xml:space="preserve">Nadto aplikanci w miarę możliwości powinni uczestniczyć (również w charakterze protokolantów) w czynnościach przyjęcia do protokołu ustnych wyjaśnień oraz </w:t>
      </w:r>
      <w:r w:rsidR="00943A12">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czynnościach przesłuchania świadków we wskazanej kategorii spraw.</w:t>
      </w:r>
    </w:p>
    <w:p w:rsidR="008C5233" w:rsidRDefault="008C5233" w:rsidP="004B2BA7">
      <w:pPr>
        <w:spacing w:after="0" w:line="360" w:lineRule="auto"/>
        <w:ind w:firstLine="708"/>
        <w:jc w:val="both"/>
        <w:rPr>
          <w:rFonts w:ascii="Times New Roman" w:eastAsia="Times New Roman" w:hAnsi="Times New Roman" w:cs="Times New Roman"/>
          <w:sz w:val="24"/>
          <w:szCs w:val="24"/>
          <w:lang w:eastAsia="pl-PL"/>
        </w:rPr>
      </w:pP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Wydziałach Gospodarczych KRS sadów rejonowych</w:t>
      </w:r>
      <w:r w:rsidRPr="004B2BA7">
        <w:rPr>
          <w:rFonts w:ascii="Times New Roman" w:eastAsia="Times New Roman" w:hAnsi="Times New Roman" w:cs="Times New Roman"/>
          <w:sz w:val="24"/>
          <w:szCs w:val="24"/>
          <w:lang w:eastAsia="pl-PL"/>
        </w:rPr>
        <w:t xml:space="preserve"> jest ugruntowanie wiedzy z zakresu prawa gospodarczego zdobytej na XXV i XXVII zjeździe</w:t>
      </w:r>
    </w:p>
    <w:p w:rsidR="004B2BA7" w:rsidRDefault="009E00FC" w:rsidP="009E00FC">
      <w:pPr>
        <w:spacing w:after="0" w:line="360" w:lineRule="auto"/>
        <w:ind w:firstLine="708"/>
        <w:jc w:val="both"/>
        <w:rPr>
          <w:rFonts w:ascii="Times New Roman" w:eastAsia="Times New Roman" w:hAnsi="Times New Roman" w:cs="Times New Roman"/>
          <w:sz w:val="24"/>
          <w:szCs w:val="24"/>
          <w:lang w:eastAsia="pl-PL"/>
        </w:rPr>
      </w:pPr>
      <w:r w:rsidRPr="009E00FC">
        <w:rPr>
          <w:rFonts w:ascii="Times New Roman" w:eastAsia="Times New Roman" w:hAnsi="Times New Roman" w:cs="Times New Roman"/>
          <w:sz w:val="24"/>
          <w:szCs w:val="24"/>
          <w:lang w:eastAsia="pl-PL"/>
        </w:rPr>
        <w:t xml:space="preserve">W związku z powyższym aplikanci powinni w trakcie praktyk </w:t>
      </w:r>
      <w:r>
        <w:rPr>
          <w:rFonts w:ascii="Times New Roman" w:eastAsia="Times New Roman" w:hAnsi="Times New Roman" w:cs="Times New Roman"/>
          <w:sz w:val="24"/>
          <w:szCs w:val="24"/>
          <w:lang w:eastAsia="pl-PL"/>
        </w:rPr>
        <w:t xml:space="preserve">zapoznać się </w:t>
      </w:r>
      <w:r>
        <w:rPr>
          <w:rFonts w:ascii="Times New Roman" w:eastAsia="Times New Roman" w:hAnsi="Times New Roman" w:cs="Times New Roman"/>
          <w:sz w:val="24"/>
          <w:szCs w:val="24"/>
          <w:lang w:eastAsia="pl-PL"/>
        </w:rPr>
        <w:br/>
        <w:t>z rejestrami wchodzącymi w skład KRS, ze specyfiką prowadzonych spraw rejestrowych dla każdego z rejestrów (r</w:t>
      </w:r>
      <w:r w:rsidRPr="009E00FC">
        <w:rPr>
          <w:rFonts w:ascii="Times New Roman" w:eastAsia="Times New Roman" w:hAnsi="Times New Roman" w:cs="Times New Roman"/>
          <w:sz w:val="24"/>
          <w:szCs w:val="24"/>
          <w:lang w:eastAsia="pl-PL"/>
        </w:rPr>
        <w:t>ejestru przedsiębiorców,</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rejestru stowarzyszeń,</w:t>
      </w:r>
      <w:r>
        <w:rPr>
          <w:rFonts w:ascii="Times New Roman" w:eastAsia="Times New Roman" w:hAnsi="Times New Roman" w:cs="Times New Roman"/>
          <w:sz w:val="24"/>
          <w:szCs w:val="24"/>
          <w:lang w:eastAsia="pl-PL"/>
        </w:rPr>
        <w:t xml:space="preserve"> i</w:t>
      </w:r>
      <w:r w:rsidRPr="009E00FC">
        <w:rPr>
          <w:rFonts w:ascii="Times New Roman" w:eastAsia="Times New Roman" w:hAnsi="Times New Roman" w:cs="Times New Roman"/>
          <w:sz w:val="24"/>
          <w:szCs w:val="24"/>
          <w:lang w:eastAsia="pl-PL"/>
        </w:rPr>
        <w:t>nnych organizacji społecznych i zawodowych, fundacji</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publicznych zakładów opieki zdrowotnej,</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rejestru dłużników niewypłacalnych</w:t>
      </w:r>
      <w:r>
        <w:rPr>
          <w:rFonts w:ascii="Times New Roman" w:eastAsia="Times New Roman" w:hAnsi="Times New Roman" w:cs="Times New Roman"/>
          <w:sz w:val="24"/>
          <w:szCs w:val="24"/>
          <w:lang w:eastAsia="pl-PL"/>
        </w:rPr>
        <w:t xml:space="preserve">) i sposobem ich prowadzenia, dokumentami stanowiącymi podstawę wpisu do KRS. </w:t>
      </w: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B2BA7" w:rsidRDefault="004B2BA7" w:rsidP="004B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nie wyklucza powierzania aplikantom również innych zadań wynikających 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4B2BA7" w:rsidRDefault="004B2BA7" w:rsidP="004B2BA7">
      <w:pPr>
        <w:spacing w:after="0" w:line="240" w:lineRule="auto"/>
        <w:rPr>
          <w:rFonts w:ascii="Times New Roman" w:eastAsia="Times New Roman" w:hAnsi="Times New Roman" w:cs="Times New Roman"/>
          <w:sz w:val="24"/>
          <w:szCs w:val="24"/>
          <w:lang w:eastAsia="pl-PL"/>
        </w:rPr>
      </w:pPr>
    </w:p>
    <w:p w:rsidR="004B2BA7" w:rsidRDefault="004B2BA7" w:rsidP="004B2BA7">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4B2BA7" w:rsidRDefault="004B2BA7" w:rsidP="004B2BA7">
      <w:pPr>
        <w:spacing w:after="0" w:line="360" w:lineRule="auto"/>
        <w:ind w:left="3540"/>
        <w:jc w:val="center"/>
        <w:rPr>
          <w:rFonts w:ascii="Times New Roman" w:eastAsia="Times New Roman" w:hAnsi="Times New Roman" w:cs="Times New Roman"/>
          <w:sz w:val="24"/>
          <w:szCs w:val="24"/>
          <w:lang w:eastAsia="pl-PL"/>
        </w:rPr>
      </w:pPr>
    </w:p>
    <w:p w:rsidR="004B2BA7" w:rsidRDefault="004B2BA7" w:rsidP="004B2BA7">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4B2BA7" w:rsidRDefault="004B2BA7" w:rsidP="004B2BA7">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1A0C0D" w:rsidRDefault="001A0C0D"/>
    <w:sectPr w:rsidR="001A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01F0"/>
    <w:multiLevelType w:val="hybridMultilevel"/>
    <w:tmpl w:val="5FA6D8C8"/>
    <w:lvl w:ilvl="0" w:tplc="3E7EED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4219063F"/>
    <w:multiLevelType w:val="hybridMultilevel"/>
    <w:tmpl w:val="159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FD2223"/>
    <w:multiLevelType w:val="hybridMultilevel"/>
    <w:tmpl w:val="7586F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B00A6F"/>
    <w:multiLevelType w:val="hybridMultilevel"/>
    <w:tmpl w:val="6FF8F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A7"/>
    <w:rsid w:val="001A0C0D"/>
    <w:rsid w:val="004B2BA7"/>
    <w:rsid w:val="008C5233"/>
    <w:rsid w:val="00943A12"/>
    <w:rsid w:val="009E00FC"/>
    <w:rsid w:val="00EE3EE5"/>
    <w:rsid w:val="00F8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B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B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1135</Words>
  <Characters>6815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3</cp:revision>
  <dcterms:created xsi:type="dcterms:W3CDTF">2020-07-15T12:06:00Z</dcterms:created>
  <dcterms:modified xsi:type="dcterms:W3CDTF">2020-07-17T09:53:00Z</dcterms:modified>
</cp:coreProperties>
</file>