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31C176D7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C53502">
        <w:rPr>
          <w:rFonts w:ascii="Times New Roman" w:hAnsi="Times New Roman"/>
          <w:sz w:val="24"/>
          <w:szCs w:val="24"/>
        </w:rPr>
        <w:t>2</w:t>
      </w:r>
      <w:r w:rsidR="00C60971">
        <w:rPr>
          <w:rFonts w:ascii="Times New Roman" w:hAnsi="Times New Roman"/>
          <w:sz w:val="24"/>
          <w:szCs w:val="24"/>
        </w:rPr>
        <w:t>6</w:t>
      </w:r>
      <w:r w:rsidR="005A0893">
        <w:rPr>
          <w:rFonts w:ascii="Times New Roman" w:hAnsi="Times New Roman"/>
          <w:sz w:val="24"/>
          <w:szCs w:val="24"/>
        </w:rPr>
        <w:t xml:space="preserve"> sierpnia </w:t>
      </w:r>
      <w:r>
        <w:rPr>
          <w:rFonts w:ascii="Times New Roman" w:hAnsi="Times New Roman"/>
          <w:sz w:val="24"/>
          <w:szCs w:val="24"/>
        </w:rPr>
        <w:t>202</w:t>
      </w:r>
      <w:r w:rsidR="00C53502">
        <w:rPr>
          <w:rFonts w:ascii="Times New Roman" w:hAnsi="Times New Roman"/>
          <w:sz w:val="24"/>
          <w:szCs w:val="24"/>
        </w:rPr>
        <w:t>1</w:t>
      </w:r>
      <w:r w:rsidR="004C7310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</w:p>
    <w:p w14:paraId="38B1AA33" w14:textId="7C43E173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5A0893">
        <w:rPr>
          <w:rFonts w:ascii="Times New Roman" w:hAnsi="Times New Roman"/>
          <w:b/>
          <w:sz w:val="24"/>
          <w:szCs w:val="24"/>
        </w:rPr>
        <w:t>1</w:t>
      </w:r>
      <w:r w:rsidR="00C53502">
        <w:rPr>
          <w:rFonts w:ascii="Times New Roman" w:hAnsi="Times New Roman"/>
          <w:b/>
          <w:sz w:val="24"/>
          <w:szCs w:val="24"/>
        </w:rPr>
        <w:t>9</w:t>
      </w:r>
      <w:r w:rsidR="00694CE4">
        <w:rPr>
          <w:rFonts w:ascii="Times New Roman" w:hAnsi="Times New Roman"/>
          <w:b/>
          <w:sz w:val="24"/>
          <w:szCs w:val="24"/>
        </w:rPr>
        <w:t>.20</w:t>
      </w:r>
      <w:r w:rsidR="00C53502">
        <w:rPr>
          <w:rFonts w:ascii="Times New Roman" w:hAnsi="Times New Roman"/>
          <w:b/>
          <w:sz w:val="24"/>
          <w:szCs w:val="24"/>
        </w:rPr>
        <w:t>21</w:t>
      </w:r>
    </w:p>
    <w:p w14:paraId="12DB2A57" w14:textId="20512734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C53502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roczni</w:t>
      </w:r>
      <w:r w:rsidR="00374436">
        <w:rPr>
          <w:rFonts w:ascii="Times New Roman" w:hAnsi="Times New Roman"/>
          <w:i/>
          <w:sz w:val="24"/>
          <w:szCs w:val="24"/>
        </w:rPr>
        <w:t xml:space="preserve">ka aplikacji </w:t>
      </w:r>
      <w:r w:rsidR="005A0893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>
        <w:rPr>
          <w:rFonts w:ascii="Times New Roman" w:hAnsi="Times New Roman"/>
          <w:i/>
          <w:sz w:val="24"/>
          <w:szCs w:val="24"/>
        </w:rPr>
        <w:t>sędziowskiej po XX</w:t>
      </w:r>
      <w:r w:rsidR="00225EE4">
        <w:rPr>
          <w:rFonts w:ascii="Times New Roman" w:hAnsi="Times New Roman"/>
          <w:i/>
          <w:sz w:val="24"/>
          <w:szCs w:val="24"/>
        </w:rPr>
        <w:t>V</w:t>
      </w:r>
      <w:r w:rsidR="00374436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177F0698" w:rsidR="007C3A8C" w:rsidRPr="00A43F4F" w:rsidRDefault="004C7310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6ECC4C48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 w:rsidR="004C7310"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51CB5D84" w:rsidR="007C3A8C" w:rsidRDefault="007C3A8C" w:rsidP="005A0893">
      <w:pPr>
        <w:spacing w:line="36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5A0893">
        <w:rPr>
          <w:rFonts w:ascii="Times New Roman" w:hAnsi="Times New Roman"/>
          <w:b/>
          <w:sz w:val="24"/>
          <w:szCs w:val="24"/>
        </w:rPr>
        <w:t xml:space="preserve">uzupełniającej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424BF631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 w:rsidR="00C53502">
        <w:rPr>
          <w:rFonts w:ascii="Times New Roman" w:hAnsi="Times New Roman"/>
        </w:rPr>
        <w:t>1</w:t>
      </w:r>
      <w:r w:rsidRPr="00D8445D">
        <w:rPr>
          <w:rFonts w:ascii="Times New Roman" w:hAnsi="Times New Roman"/>
        </w:rPr>
        <w:t xml:space="preserve"> rocznika aplikacji </w:t>
      </w:r>
      <w:r w:rsidR="005A0893">
        <w:rPr>
          <w:rFonts w:ascii="Times New Roman" w:hAnsi="Times New Roman"/>
        </w:rPr>
        <w:t xml:space="preserve">uzupełniającej </w:t>
      </w:r>
      <w:r w:rsidRPr="00D8445D">
        <w:rPr>
          <w:rFonts w:ascii="Times New Roman" w:hAnsi="Times New Roman"/>
        </w:rPr>
        <w:t xml:space="preserve">sędziowskiej odbywanych w terminie </w:t>
      </w:r>
      <w:r w:rsidRPr="004C7310">
        <w:rPr>
          <w:rFonts w:ascii="Times New Roman" w:hAnsi="Times New Roman"/>
          <w:b/>
        </w:rPr>
        <w:t xml:space="preserve">od </w:t>
      </w:r>
      <w:r w:rsidR="00C53502" w:rsidRPr="004C7310">
        <w:rPr>
          <w:rFonts w:ascii="Times New Roman" w:hAnsi="Times New Roman"/>
          <w:b/>
        </w:rPr>
        <w:t>2</w:t>
      </w:r>
      <w:r w:rsidR="005A0893" w:rsidRPr="004C7310">
        <w:rPr>
          <w:rFonts w:ascii="Times New Roman" w:hAnsi="Times New Roman"/>
          <w:b/>
        </w:rPr>
        <w:t>7 września 2021 r. do 8 października 2</w:t>
      </w:r>
      <w:r w:rsidR="004C2C39" w:rsidRPr="004C7310">
        <w:rPr>
          <w:rFonts w:ascii="Times New Roman" w:hAnsi="Times New Roman"/>
          <w:b/>
        </w:rPr>
        <w:t>02</w:t>
      </w:r>
      <w:r w:rsidR="00C53502" w:rsidRPr="004C7310">
        <w:rPr>
          <w:rFonts w:ascii="Times New Roman" w:hAnsi="Times New Roman"/>
          <w:b/>
        </w:rPr>
        <w:t>1</w:t>
      </w:r>
      <w:r w:rsidR="004C2C39" w:rsidRPr="004C7310">
        <w:rPr>
          <w:rFonts w:ascii="Times New Roman" w:hAnsi="Times New Roman"/>
          <w:b/>
        </w:rPr>
        <w:t xml:space="preserve"> r.</w:t>
      </w:r>
      <w:r w:rsidRPr="00D8445D">
        <w:rPr>
          <w:rFonts w:ascii="Times New Roman" w:hAnsi="Times New Roman"/>
        </w:rPr>
        <w:t>, po X</w:t>
      </w:r>
      <w:r w:rsidR="00374436">
        <w:rPr>
          <w:rFonts w:ascii="Times New Roman" w:hAnsi="Times New Roman"/>
        </w:rPr>
        <w:t>X</w:t>
      </w:r>
      <w:r w:rsidR="00225EE4">
        <w:rPr>
          <w:rFonts w:ascii="Times New Roman" w:hAnsi="Times New Roman"/>
        </w:rPr>
        <w:t>V</w:t>
      </w:r>
      <w:r w:rsidR="00374436">
        <w:rPr>
          <w:rFonts w:ascii="Times New Roman" w:hAnsi="Times New Roman"/>
        </w:rPr>
        <w:t>I</w:t>
      </w:r>
      <w:r w:rsidRPr="00D8445D">
        <w:rPr>
          <w:rFonts w:ascii="Times New Roman" w:hAnsi="Times New Roman"/>
        </w:rPr>
        <w:t xml:space="preserve"> zjeździe aplikacji </w:t>
      </w:r>
      <w:r w:rsidR="005A0893">
        <w:rPr>
          <w:rFonts w:ascii="Times New Roman" w:hAnsi="Times New Roman"/>
        </w:rPr>
        <w:t xml:space="preserve"> uzupełniającej </w:t>
      </w:r>
      <w:r w:rsidRPr="00D8445D">
        <w:rPr>
          <w:rFonts w:ascii="Times New Roman" w:hAnsi="Times New Roman"/>
        </w:rPr>
        <w:t>sędziowskiej, który odb</w:t>
      </w:r>
      <w:r w:rsidR="00C53502">
        <w:rPr>
          <w:rFonts w:ascii="Times New Roman" w:hAnsi="Times New Roman"/>
        </w:rPr>
        <w:t xml:space="preserve">ędzie się </w:t>
      </w:r>
      <w:r w:rsidRPr="00D8445D">
        <w:rPr>
          <w:rFonts w:ascii="Times New Roman" w:hAnsi="Times New Roman"/>
        </w:rPr>
        <w:t xml:space="preserve">w </w:t>
      </w:r>
      <w:r w:rsidR="004C7310">
        <w:rPr>
          <w:rFonts w:ascii="Times New Roman" w:hAnsi="Times New Roman"/>
        </w:rPr>
        <w:t>od</w:t>
      </w:r>
      <w:r w:rsidRPr="00D8445D">
        <w:rPr>
          <w:rFonts w:ascii="Times New Roman" w:hAnsi="Times New Roman"/>
        </w:rPr>
        <w:t xml:space="preserve"> </w:t>
      </w:r>
      <w:r w:rsidR="004C7310">
        <w:rPr>
          <w:rFonts w:ascii="Times New Roman" w:hAnsi="Times New Roman"/>
        </w:rPr>
        <w:t xml:space="preserve">25 do </w:t>
      </w:r>
      <w:r w:rsidR="005A0893">
        <w:rPr>
          <w:rFonts w:ascii="Times New Roman" w:hAnsi="Times New Roman"/>
        </w:rPr>
        <w:t xml:space="preserve">26 września </w:t>
      </w:r>
      <w:r w:rsidR="00C53502">
        <w:rPr>
          <w:rFonts w:ascii="Times New Roman" w:hAnsi="Times New Roman"/>
        </w:rPr>
        <w:t>2021</w:t>
      </w:r>
      <w:r w:rsidRPr="00D8445D">
        <w:rPr>
          <w:rFonts w:ascii="Times New Roman" w:hAnsi="Times New Roman"/>
        </w:rPr>
        <w:t xml:space="preserve"> r. </w:t>
      </w:r>
    </w:p>
    <w:p w14:paraId="58A1E9E3" w14:textId="3F501389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</w:t>
      </w:r>
      <w:r w:rsidR="00C60971"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278984F2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 xml:space="preserve">Zgodnie z programem aplikacji </w:t>
      </w:r>
      <w:r w:rsidR="005A0893">
        <w:rPr>
          <w:rFonts w:ascii="Times New Roman" w:hAnsi="Times New Roman"/>
        </w:rPr>
        <w:t xml:space="preserve">uzupełniającej </w:t>
      </w:r>
      <w:r w:rsidRPr="00D84572">
        <w:rPr>
          <w:rFonts w:ascii="Times New Roman" w:hAnsi="Times New Roman"/>
        </w:rPr>
        <w:t xml:space="preserve">sędziowskiej realizowanym przez aplikantów </w:t>
      </w:r>
      <w:r w:rsidR="00C53502">
        <w:rPr>
          <w:rFonts w:ascii="Times New Roman" w:hAnsi="Times New Roman"/>
        </w:rPr>
        <w:t>1</w:t>
      </w:r>
      <w:r w:rsidRPr="00D84572">
        <w:rPr>
          <w:rFonts w:ascii="Times New Roman" w:hAnsi="Times New Roman"/>
        </w:rPr>
        <w:t xml:space="preserve"> rocznik</w:t>
      </w:r>
      <w:r w:rsidR="00374436">
        <w:rPr>
          <w:rFonts w:ascii="Times New Roman" w:hAnsi="Times New Roman"/>
        </w:rPr>
        <w:t>a tej aplikacji, przedmiotem XX</w:t>
      </w:r>
      <w:r w:rsidR="00225EE4">
        <w:rPr>
          <w:rFonts w:ascii="Times New Roman" w:hAnsi="Times New Roman"/>
        </w:rPr>
        <w:t>V</w:t>
      </w:r>
      <w:r w:rsidR="00374436">
        <w:rPr>
          <w:rFonts w:ascii="Times New Roman" w:hAnsi="Times New Roman"/>
        </w:rPr>
        <w:t>I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</w:t>
      </w:r>
      <w:r w:rsidR="00374436">
        <w:rPr>
          <w:rFonts w:ascii="Times New Roman" w:hAnsi="Times New Roman"/>
        </w:rPr>
        <w:t>postępowanie nieprocesowe – sprawy działowe</w:t>
      </w:r>
      <w:r w:rsidR="0035602F">
        <w:rPr>
          <w:rFonts w:ascii="Times New Roman" w:hAnsi="Times New Roman"/>
        </w:rPr>
        <w:t xml:space="preserve"> (zniesienie współwłasności, podział majątku wspólnego, dział spadku)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5A0893">
        <w:rPr>
          <w:rFonts w:ascii="Times New Roman" w:hAnsi="Times New Roman"/>
        </w:rPr>
        <w:t xml:space="preserve">2 dni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 xml:space="preserve">cywilnym nieprocesowym, a jeżeli w danym sądzie nie ma wyodrębnionego wydziału nieprocesowego, praktyka </w:t>
      </w:r>
      <w:r w:rsidR="00225EE4">
        <w:rPr>
          <w:rFonts w:ascii="Times New Roman" w:hAnsi="Times New Roman"/>
        </w:rPr>
        <w:lastRenderedPageBreak/>
        <w:t xml:space="preserve">odbywa się w sądzie rejonowym – w </w:t>
      </w:r>
      <w:r w:rsidR="00A76E09">
        <w:rPr>
          <w:rFonts w:ascii="Times New Roman" w:hAnsi="Times New Roman"/>
        </w:rPr>
        <w:t>wydziale cywilnym,</w:t>
      </w:r>
      <w:r w:rsidR="00225EE4">
        <w:rPr>
          <w:rFonts w:ascii="Times New Roman" w:hAnsi="Times New Roman"/>
        </w:rPr>
        <w:t xml:space="preserve"> </w:t>
      </w:r>
      <w:r w:rsidR="00A76E09" w:rsidRPr="00A76E09">
        <w:rPr>
          <w:rFonts w:ascii="Times New Roman" w:hAnsi="Times New Roman"/>
        </w:rPr>
        <w:t>ze zwróceniem uwagi sędziemu patronowi, że przedmiotem praktyki powinny być przede wszystkim sprawy nieprocesowe.</w:t>
      </w:r>
    </w:p>
    <w:p w14:paraId="66916082" w14:textId="77777777" w:rsidR="007C3A8C" w:rsidRPr="00200FA4" w:rsidRDefault="00085E89" w:rsidP="00A76E09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200FA4">
        <w:rPr>
          <w:rFonts w:ascii="Times New Roman" w:hAnsi="Times New Roman"/>
          <w:b/>
        </w:rPr>
        <w:t>prawa materialnego:</w:t>
      </w:r>
    </w:p>
    <w:p w14:paraId="0FCA6AEE" w14:textId="5C98EFE4" w:rsidR="00374436" w:rsidRPr="00374436" w:rsidRDefault="00374436" w:rsidP="00374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</w:t>
      </w:r>
      <w:r w:rsidR="00200FA4">
        <w:rPr>
          <w:rFonts w:ascii="Times New Roman" w:eastAsia="Andale Sans UI" w:hAnsi="Times New Roman"/>
          <w:kern w:val="3"/>
        </w:rPr>
        <w:t>asności, a w szczególności:</w:t>
      </w:r>
    </w:p>
    <w:p w14:paraId="6374D37F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 xml:space="preserve">różne sposoby zniesienia współwłasności, zasada pierwszeństwa podziału fizycznego, </w:t>
      </w:r>
    </w:p>
    <w:p w14:paraId="13E2A155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współwłasności poprzez wyodrębnienie lokali,</w:t>
      </w:r>
    </w:p>
    <w:p w14:paraId="7853E675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współwłasności poprzez sprzedaż licytacyjną,</w:t>
      </w:r>
    </w:p>
    <w:p w14:paraId="45BD19A1" w14:textId="352FF810" w:rsid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zasady rozliczeń wzajemnych roszczeń współwłaścicieli z tytu</w:t>
      </w:r>
      <w:r>
        <w:rPr>
          <w:rFonts w:ascii="Times New Roman" w:eastAsia="Andale Sans UI" w:hAnsi="Times New Roman"/>
          <w:kern w:val="3"/>
        </w:rPr>
        <w:t>łu posiadania rzeczy;</w:t>
      </w:r>
    </w:p>
    <w:p w14:paraId="46653F08" w14:textId="63D8071A" w:rsidR="00374436" w:rsidRDefault="00374436" w:rsidP="00374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podział majątku wspólnego</w:t>
      </w:r>
      <w:r w:rsidR="00200FA4">
        <w:rPr>
          <w:rFonts w:ascii="Times New Roman" w:eastAsia="Andale Sans UI" w:hAnsi="Times New Roman"/>
          <w:kern w:val="3"/>
        </w:rPr>
        <w:t>, a w szczególności</w:t>
      </w:r>
      <w:r>
        <w:rPr>
          <w:rFonts w:ascii="Times New Roman" w:eastAsia="Andale Sans UI" w:hAnsi="Times New Roman"/>
          <w:kern w:val="3"/>
        </w:rPr>
        <w:t>:</w:t>
      </w:r>
    </w:p>
    <w:p w14:paraId="750A4496" w14:textId="407CAE62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małżeńskie ustroje majątkowe,</w:t>
      </w:r>
    </w:p>
    <w:p w14:paraId="0F4E68EC" w14:textId="449F602A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majątek wspólny a majątek osobisty,</w:t>
      </w:r>
    </w:p>
    <w:p w14:paraId="0B25B425" w14:textId="33DBB8D4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przesłanki ustalenia nierównych udziałów w majątku wspólnym (art. 43 § 2 i 3 k.r.o.);</w:t>
      </w:r>
    </w:p>
    <w:p w14:paraId="3138F9DC" w14:textId="1200FF17" w:rsidR="00374436" w:rsidRDefault="00200FA4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zasady rozliczeń</w:t>
      </w:r>
      <w:r w:rsidR="00374436">
        <w:rPr>
          <w:rFonts w:ascii="Times New Roman" w:eastAsia="Andale Sans UI" w:hAnsi="Times New Roman"/>
          <w:kern w:val="3"/>
        </w:rPr>
        <w:t xml:space="preserve"> wydatków i nakładów z majątku wspólnego na majątek osobisty oraz  majątku osobistego na majątek wspólny;</w:t>
      </w:r>
    </w:p>
    <w:p w14:paraId="4B46C9BB" w14:textId="13E5ECD3" w:rsidR="00200FA4" w:rsidRDefault="00374436" w:rsidP="00200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dział spadku</w:t>
      </w:r>
      <w:r w:rsidR="00200FA4">
        <w:rPr>
          <w:rFonts w:ascii="Times New Roman" w:eastAsia="Andale Sans UI" w:hAnsi="Times New Roman"/>
          <w:kern w:val="3"/>
        </w:rPr>
        <w:t>, a w szczególności zaliczanie darowizn i zapisów windykacyjnych na schedy spadkowe.</w:t>
      </w:r>
    </w:p>
    <w:p w14:paraId="568B32F4" w14:textId="77777777" w:rsidR="00200FA4" w:rsidRPr="00200FA4" w:rsidRDefault="00200FA4" w:rsidP="004C731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00FA4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200FA4">
        <w:rPr>
          <w:rFonts w:ascii="Times New Roman" w:hAnsi="Times New Roman"/>
          <w:b/>
        </w:rPr>
        <w:t>prawa procesowego</w:t>
      </w:r>
      <w:r w:rsidRPr="00200FA4">
        <w:rPr>
          <w:rFonts w:ascii="Times New Roman" w:hAnsi="Times New Roman"/>
        </w:rPr>
        <w:t>:</w:t>
      </w:r>
    </w:p>
    <w:p w14:paraId="2A74143E" w14:textId="6F0B13F4" w:rsidR="00200FA4" w:rsidRDefault="00200FA4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legitymacja czynna do złożenia wniosku</w:t>
      </w:r>
      <w:r w:rsidR="0035602F">
        <w:rPr>
          <w:rFonts w:ascii="Times New Roman" w:eastAsia="Andale Sans UI" w:hAnsi="Times New Roman"/>
          <w:kern w:val="3"/>
        </w:rPr>
        <w:t xml:space="preserve"> o wszczęcie postępowania działowego;</w:t>
      </w:r>
    </w:p>
    <w:p w14:paraId="01BF8B2B" w14:textId="2C4AA9B8" w:rsidR="00731530" w:rsidRDefault="00731530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właściwość sądu;</w:t>
      </w:r>
    </w:p>
    <w:p w14:paraId="0DE4AA80" w14:textId="687A6B5D" w:rsidR="0035602F" w:rsidRPr="00200FA4" w:rsidRDefault="0035602F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wpływ toczącego się postępowania działowego na inne postępowania, zakres przedmiotowy spraw, o których mowa w art.</w:t>
      </w:r>
      <w:r w:rsidR="00731530">
        <w:rPr>
          <w:rFonts w:ascii="Times New Roman" w:eastAsia="Andale Sans UI" w:hAnsi="Times New Roman"/>
          <w:kern w:val="3"/>
        </w:rPr>
        <w:t xml:space="preserve"> 618</w:t>
      </w:r>
      <w:r>
        <w:rPr>
          <w:rFonts w:ascii="Times New Roman" w:eastAsia="Andale Sans UI" w:hAnsi="Times New Roman"/>
          <w:kern w:val="3"/>
        </w:rPr>
        <w:t xml:space="preserve"> k.p.c.;</w:t>
      </w:r>
    </w:p>
    <w:p w14:paraId="2AC30679" w14:textId="74EF93C0" w:rsidR="00200FA4" w:rsidRPr="0035602F" w:rsidRDefault="00F053FD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dopuszczalność wydania postanowienia</w:t>
      </w:r>
      <w:r w:rsidR="00200FA4" w:rsidRPr="00200FA4">
        <w:rPr>
          <w:rFonts w:ascii="Times New Roman" w:hAnsi="Times New Roman"/>
        </w:rPr>
        <w:t xml:space="preserve"> wstępne</w:t>
      </w:r>
      <w:r>
        <w:rPr>
          <w:rFonts w:ascii="Times New Roman" w:hAnsi="Times New Roman"/>
        </w:rPr>
        <w:t>go</w:t>
      </w:r>
      <w:r w:rsidR="0035602F">
        <w:rPr>
          <w:rFonts w:ascii="Times New Roman" w:hAnsi="Times New Roman"/>
        </w:rPr>
        <w:t xml:space="preserve"> </w:t>
      </w:r>
      <w:r w:rsidR="00EE39CA">
        <w:rPr>
          <w:rFonts w:ascii="Times New Roman" w:hAnsi="Times New Roman"/>
        </w:rPr>
        <w:t xml:space="preserve">(art. 567 § 2 k.p.c., 618 § 1 k.p.c,, art. 685 k.p.c., </w:t>
      </w:r>
      <w:r w:rsidR="00200FA4" w:rsidRPr="00200FA4">
        <w:rPr>
          <w:rFonts w:ascii="Times New Roman" w:hAnsi="Times New Roman"/>
        </w:rPr>
        <w:t>art. 11 ust. 2 ustawy o własności lokali</w:t>
      </w:r>
      <w:r w:rsidR="00EE39CA">
        <w:rPr>
          <w:rFonts w:ascii="Times New Roman" w:hAnsi="Times New Roman"/>
        </w:rPr>
        <w:t>)</w:t>
      </w:r>
      <w:r w:rsidR="0035602F">
        <w:rPr>
          <w:rFonts w:ascii="Times New Roman" w:hAnsi="Times New Roman"/>
        </w:rPr>
        <w:t>;</w:t>
      </w:r>
    </w:p>
    <w:p w14:paraId="108B0BB7" w14:textId="3ACB7B16" w:rsidR="00374436" w:rsidRPr="00EE39CA" w:rsidRDefault="0035602F" w:rsidP="003744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31530">
        <w:rPr>
          <w:rFonts w:ascii="Times New Roman" w:hAnsi="Times New Roman"/>
        </w:rPr>
        <w:t>redakcja postanowienia kończącego postępowanie w sprawie</w:t>
      </w:r>
      <w:r w:rsidR="00EE39CA">
        <w:rPr>
          <w:rFonts w:ascii="Times New Roman" w:hAnsi="Times New Roman"/>
        </w:rPr>
        <w:t>, w tym w szczególności:</w:t>
      </w:r>
    </w:p>
    <w:p w14:paraId="161253DA" w14:textId="72EE655B" w:rsidR="00584A70" w:rsidRDefault="00584A70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opis przedmiotu współwłasności albo składników majątku wspólnego lub składników masy spadkowej oraz wskazanie ich wartości, wskazanie sposobu zniesienia współwłasności (podziału majątku wspólnego, działu spadku), powołanie mapy stanowiącej integralną część orzeczenia;</w:t>
      </w:r>
    </w:p>
    <w:p w14:paraId="446D9ED5" w14:textId="0B37E3BA" w:rsidR="00EE39CA" w:rsidRPr="00EE39CA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orzekanie o wzajemnych roszczeniach związanych z posiadaniem poszczególnych składników majątkowych podlegających podziałowi w danym postepowaniu,</w:t>
      </w:r>
    </w:p>
    <w:p w14:paraId="6DB2102D" w14:textId="2E9452C4" w:rsidR="00EE39CA" w:rsidRPr="00EE39CA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orzekanie o spłatach lub dopłatach (wysokość, termin płatności, odsetki w razie opóźnienia w zapłacie),</w:t>
      </w:r>
    </w:p>
    <w:p w14:paraId="460FF7C9" w14:textId="0731B8E6" w:rsidR="00EE39CA" w:rsidRPr="00584A70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lastRenderedPageBreak/>
        <w:t>orzekanie o wydaniu rzeczy przyznanej uczestnikowi, który nią ni</w:t>
      </w:r>
      <w:r w:rsidR="00584A70">
        <w:rPr>
          <w:rFonts w:ascii="Times New Roman" w:hAnsi="Times New Roman"/>
        </w:rPr>
        <w:t>e włada,</w:t>
      </w:r>
    </w:p>
    <w:p w14:paraId="6EA9E7E2" w14:textId="021FC80E" w:rsidR="00584A70" w:rsidRPr="00731530" w:rsidRDefault="00584A70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orzekanie o uprawnieniu do zawarcia umowy najmu socjalnego lokalu (uchwała SN z dnia 13 czerwca 2003 r., III CZP 40/03).</w:t>
      </w:r>
    </w:p>
    <w:p w14:paraId="68426C58" w14:textId="10F8E08D" w:rsidR="0075750E" w:rsidRDefault="00731530" w:rsidP="004C7310">
      <w:pPr>
        <w:spacing w:line="360" w:lineRule="auto"/>
        <w:ind w:left="360" w:firstLine="696"/>
        <w:jc w:val="both"/>
        <w:rPr>
          <w:rFonts w:ascii="Times New Roman" w:hAnsi="Times New Roman"/>
        </w:rPr>
      </w:pPr>
      <w:r w:rsidRPr="00731530">
        <w:rPr>
          <w:rFonts w:ascii="Times New Roman" w:hAnsi="Times New Roman"/>
        </w:rPr>
        <w:t xml:space="preserve">Szczególną uwagę należy poświęcić zagadnieniom procesowych i technicznych aspektów postępowania dowodowego w sprawach działowych, z uwzględnieniem sposobu redagowania postanowień dopuszczających dowód z opinii biegłego geodety w celu sporządzenia mapy </w:t>
      </w:r>
      <w:r>
        <w:rPr>
          <w:rFonts w:ascii="Times New Roman" w:hAnsi="Times New Roman"/>
        </w:rPr>
        <w:t>z projektowanym sposobem podziału nieruchomości (z uwzględnieniem wymogu, o którym mowa w art. 621 k.p.c.)</w:t>
      </w:r>
      <w:r w:rsidRPr="00731530">
        <w:rPr>
          <w:rFonts w:ascii="Times New Roman" w:hAnsi="Times New Roman"/>
        </w:rPr>
        <w:t>, dowodu z opinii biegłego w celu sporządzenia inwentaryzacji budynku oraz sporządzenia projektu wyodrębnienia samodzielnych lokali mieszkalnych w budynku wielomieszkaniowym</w:t>
      </w:r>
      <w:r>
        <w:rPr>
          <w:rFonts w:ascii="Times New Roman" w:hAnsi="Times New Roman"/>
        </w:rPr>
        <w:t xml:space="preserve"> oraz dowodu z opinii biegłego rzeczoznawcy majątkowego na okoliczność wyceny poszczególnych składników masy majątkowej podlegającej podziałowi w danym postępowaniu oraz określenia wartości podlegających rozliczeniu w tym postępowaniu nakładów i wydatków</w:t>
      </w:r>
      <w:r w:rsidRPr="00731530">
        <w:rPr>
          <w:rFonts w:ascii="Times New Roman" w:hAnsi="Times New Roman"/>
        </w:rPr>
        <w:t xml:space="preserve">. </w:t>
      </w:r>
      <w:r w:rsidR="0075750E">
        <w:rPr>
          <w:rFonts w:ascii="Times New Roman" w:hAnsi="Times New Roman"/>
        </w:rPr>
        <w:t xml:space="preserve">Ponadto w sprawach o podział majątku wspólnego i dział spadku należy zapoznać aplikantów z metodyką podejmowania przez sąd (przewodniczącego) czynności zmierzających do ustalenia pełnego składu </w:t>
      </w:r>
      <w:r w:rsidR="00E67DC7">
        <w:rPr>
          <w:rFonts w:ascii="Times New Roman" w:hAnsi="Times New Roman"/>
        </w:rPr>
        <w:t>majątku wspólnego lub spadku</w:t>
      </w:r>
      <w:r w:rsidR="0075750E">
        <w:rPr>
          <w:rFonts w:ascii="Times New Roman" w:hAnsi="Times New Roman"/>
        </w:rPr>
        <w:t xml:space="preserve"> (art. 684 k.p.c. w związku z art. </w:t>
      </w:r>
      <w:r w:rsidR="00E67DC7">
        <w:rPr>
          <w:rFonts w:ascii="Times New Roman" w:hAnsi="Times New Roman"/>
        </w:rPr>
        <w:t xml:space="preserve">567 § 3 k.p.c.), tj. w szczególności poprawnym redagowaniem zarządzeń i pism sądowych zawierających wezwanie do udzielenia stosownych informacji w tym zakresie, kierowanych np. do banków, towarzystw funduszy inwestycyjnych, domów maklerskich itp. </w:t>
      </w:r>
    </w:p>
    <w:p w14:paraId="37B2F691" w14:textId="77777777" w:rsidR="00C53502" w:rsidRDefault="00731530" w:rsidP="004C7310">
      <w:pPr>
        <w:spacing w:line="360" w:lineRule="auto"/>
        <w:ind w:left="360" w:firstLine="696"/>
        <w:jc w:val="both"/>
        <w:rPr>
          <w:rFonts w:ascii="Times New Roman" w:hAnsi="Times New Roman"/>
        </w:rPr>
      </w:pPr>
      <w:r w:rsidRPr="00731530">
        <w:rPr>
          <w:rFonts w:ascii="Times New Roman" w:hAnsi="Times New Roman"/>
        </w:rPr>
        <w:t xml:space="preserve">Zaleca się, aby aplikanci w trakcie praktyki zapoznawali się z konkretnymi sprawami </w:t>
      </w:r>
      <w:r>
        <w:rPr>
          <w:rFonts w:ascii="Times New Roman" w:hAnsi="Times New Roman"/>
        </w:rPr>
        <w:t>o zniesienie współwłasności, o podział majątku wspólnego i o dział spadku</w:t>
      </w:r>
      <w:r w:rsidRPr="00731530">
        <w:rPr>
          <w:rFonts w:ascii="Times New Roman" w:hAnsi="Times New Roman"/>
        </w:rPr>
        <w:t xml:space="preserve"> 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projektów orzeczeń kończących postępowanie w tego rodzaju sprawach, wraz z uzasadnieniem.</w:t>
      </w:r>
      <w:r w:rsidR="00C53502">
        <w:rPr>
          <w:rFonts w:ascii="Times New Roman" w:hAnsi="Times New Roman"/>
        </w:rPr>
        <w:t xml:space="preserve"> </w:t>
      </w:r>
    </w:p>
    <w:p w14:paraId="76323879" w14:textId="36DB2D7F" w:rsidR="00731530" w:rsidRDefault="004C7310" w:rsidP="004C7310">
      <w:pPr>
        <w:spacing w:line="360" w:lineRule="auto"/>
        <w:ind w:left="3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Poza tym a</w:t>
      </w:r>
      <w:r w:rsidR="005A0893">
        <w:rPr>
          <w:rFonts w:ascii="Times New Roman" w:hAnsi="Times New Roman"/>
        </w:rPr>
        <w:t xml:space="preserve">plikanci 9 października </w:t>
      </w:r>
      <w:r w:rsidR="00C53502">
        <w:rPr>
          <w:rFonts w:ascii="Times New Roman" w:hAnsi="Times New Roman"/>
        </w:rPr>
        <w:t xml:space="preserve">2021 r. będą pisać sprawdzian obejmujący sporządzenie projektu postanowienia kończącego postepowanie w sprawie będącej przedmiotem zjazdu wraz z omówieniem lub uzasadnieniem. </w:t>
      </w:r>
    </w:p>
    <w:p w14:paraId="5BB39C3D" w14:textId="77777777" w:rsidR="00C53502" w:rsidRPr="00A35014" w:rsidRDefault="00C53502" w:rsidP="00731530">
      <w:pPr>
        <w:spacing w:line="360" w:lineRule="auto"/>
        <w:ind w:left="360" w:firstLine="348"/>
        <w:jc w:val="both"/>
        <w:rPr>
          <w:rFonts w:ascii="Times New Roman" w:hAnsi="Times New Roman"/>
        </w:rPr>
      </w:pPr>
    </w:p>
    <w:p w14:paraId="3447D48F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Kierownik Działu Dydaktycznego OAS</w:t>
      </w:r>
    </w:p>
    <w:p w14:paraId="42B24A37" w14:textId="50CCCBCF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 xml:space="preserve">dr </w:t>
      </w:r>
      <w:r w:rsidR="00C53502">
        <w:rPr>
          <w:rFonts w:ascii="Times New Roman" w:hAnsi="Times New Roman"/>
        </w:rPr>
        <w:t xml:space="preserve">Mariusz Kucharczyk </w:t>
      </w:r>
    </w:p>
    <w:p w14:paraId="4CD5F8C5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sędzia</w:t>
      </w:r>
    </w:p>
    <w:p w14:paraId="17A19B4E" w14:textId="5D1BCF5B" w:rsidR="00775A12" w:rsidRDefault="0048455D" w:rsidP="00731530">
      <w:pPr>
        <w:spacing w:line="360" w:lineRule="auto"/>
        <w:ind w:firstLine="708"/>
        <w:jc w:val="both"/>
      </w:pPr>
    </w:p>
    <w:sectPr w:rsidR="00775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ED40" w14:textId="77777777" w:rsidR="0048455D" w:rsidRDefault="0048455D" w:rsidP="00AA67CD">
      <w:pPr>
        <w:spacing w:after="0" w:line="240" w:lineRule="auto"/>
      </w:pPr>
      <w:r>
        <w:separator/>
      </w:r>
    </w:p>
  </w:endnote>
  <w:endnote w:type="continuationSeparator" w:id="0">
    <w:p w14:paraId="40C91D7E" w14:textId="77777777" w:rsidR="0048455D" w:rsidRDefault="0048455D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674A" w14:textId="77777777" w:rsidR="004E0A0A" w:rsidRDefault="004E0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1405" w14:textId="77777777" w:rsidR="004E0A0A" w:rsidRDefault="004E0A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E1B0" w14:textId="77777777" w:rsidR="004E0A0A" w:rsidRDefault="004E0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2991B" w14:textId="77777777" w:rsidR="0048455D" w:rsidRDefault="0048455D" w:rsidP="00AA67CD">
      <w:pPr>
        <w:spacing w:after="0" w:line="240" w:lineRule="auto"/>
      </w:pPr>
      <w:r>
        <w:separator/>
      </w:r>
    </w:p>
  </w:footnote>
  <w:footnote w:type="continuationSeparator" w:id="0">
    <w:p w14:paraId="028B87A9" w14:textId="77777777" w:rsidR="0048455D" w:rsidRDefault="0048455D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2AB7" w14:textId="77777777" w:rsidR="004E0A0A" w:rsidRDefault="004E0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73C5" w14:textId="77777777" w:rsidR="004E0A0A" w:rsidRDefault="004E0A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10C2" w14:textId="77777777" w:rsidR="004E0A0A" w:rsidRDefault="004E0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1D9"/>
    <w:multiLevelType w:val="hybridMultilevel"/>
    <w:tmpl w:val="753CD9B6"/>
    <w:lvl w:ilvl="0" w:tplc="A12208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73CBE"/>
    <w:multiLevelType w:val="hybridMultilevel"/>
    <w:tmpl w:val="C4D48FF0"/>
    <w:lvl w:ilvl="0" w:tplc="5FCECB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260F3B21"/>
    <w:multiLevelType w:val="hybridMultilevel"/>
    <w:tmpl w:val="EE5E3646"/>
    <w:lvl w:ilvl="0" w:tplc="68DA0F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E4FEE"/>
    <w:multiLevelType w:val="hybridMultilevel"/>
    <w:tmpl w:val="7E90EC38"/>
    <w:lvl w:ilvl="0" w:tplc="CCE032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F1F2A"/>
    <w:multiLevelType w:val="hybridMultilevel"/>
    <w:tmpl w:val="FA6CCA66"/>
    <w:lvl w:ilvl="0" w:tplc="60CA9D2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2"/>
  </w:num>
  <w:num w:numId="5">
    <w:abstractNumId w:val="24"/>
  </w:num>
  <w:num w:numId="6">
    <w:abstractNumId w:val="9"/>
  </w:num>
  <w:num w:numId="7">
    <w:abstractNumId w:val="23"/>
  </w:num>
  <w:num w:numId="8">
    <w:abstractNumId w:val="12"/>
  </w:num>
  <w:num w:numId="9">
    <w:abstractNumId w:val="8"/>
  </w:num>
  <w:num w:numId="10">
    <w:abstractNumId w:val="26"/>
  </w:num>
  <w:num w:numId="11">
    <w:abstractNumId w:val="6"/>
  </w:num>
  <w:num w:numId="12">
    <w:abstractNumId w:val="1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10"/>
  </w:num>
  <w:num w:numId="18">
    <w:abstractNumId w:val="3"/>
  </w:num>
  <w:num w:numId="19">
    <w:abstractNumId w:val="17"/>
  </w:num>
  <w:num w:numId="20">
    <w:abstractNumId w:val="4"/>
  </w:num>
  <w:num w:numId="21">
    <w:abstractNumId w:val="20"/>
  </w:num>
  <w:num w:numId="22">
    <w:abstractNumId w:val="16"/>
  </w:num>
  <w:num w:numId="23">
    <w:abstractNumId w:val="21"/>
  </w:num>
  <w:num w:numId="24">
    <w:abstractNumId w:val="18"/>
  </w:num>
  <w:num w:numId="25">
    <w:abstractNumId w:val="0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93F0F"/>
    <w:rsid w:val="000D378A"/>
    <w:rsid w:val="00195D0B"/>
    <w:rsid w:val="001C5C56"/>
    <w:rsid w:val="001D5E58"/>
    <w:rsid w:val="001E5109"/>
    <w:rsid w:val="00200FA4"/>
    <w:rsid w:val="00225EE4"/>
    <w:rsid w:val="002A77D9"/>
    <w:rsid w:val="0035602F"/>
    <w:rsid w:val="00374436"/>
    <w:rsid w:val="00382E93"/>
    <w:rsid w:val="00417D3D"/>
    <w:rsid w:val="004256AA"/>
    <w:rsid w:val="0048455D"/>
    <w:rsid w:val="0049107A"/>
    <w:rsid w:val="004C2C39"/>
    <w:rsid w:val="004C7310"/>
    <w:rsid w:val="004E0A0A"/>
    <w:rsid w:val="00534FC5"/>
    <w:rsid w:val="005800A4"/>
    <w:rsid w:val="00584A70"/>
    <w:rsid w:val="005A0893"/>
    <w:rsid w:val="005C6488"/>
    <w:rsid w:val="0067695C"/>
    <w:rsid w:val="00682245"/>
    <w:rsid w:val="00694CE4"/>
    <w:rsid w:val="006B1A06"/>
    <w:rsid w:val="006D500B"/>
    <w:rsid w:val="006D7F5D"/>
    <w:rsid w:val="006E6B11"/>
    <w:rsid w:val="007007FA"/>
    <w:rsid w:val="00731530"/>
    <w:rsid w:val="007556E9"/>
    <w:rsid w:val="0075750E"/>
    <w:rsid w:val="007B6F11"/>
    <w:rsid w:val="007C3A8C"/>
    <w:rsid w:val="007F28CC"/>
    <w:rsid w:val="00810460"/>
    <w:rsid w:val="00832344"/>
    <w:rsid w:val="0088627E"/>
    <w:rsid w:val="008C3394"/>
    <w:rsid w:val="008F18D4"/>
    <w:rsid w:val="009135B9"/>
    <w:rsid w:val="009B3CA4"/>
    <w:rsid w:val="009E0CFB"/>
    <w:rsid w:val="00A24D29"/>
    <w:rsid w:val="00A322B3"/>
    <w:rsid w:val="00A330BB"/>
    <w:rsid w:val="00A35014"/>
    <w:rsid w:val="00A76E09"/>
    <w:rsid w:val="00AA67CD"/>
    <w:rsid w:val="00AC2C3D"/>
    <w:rsid w:val="00AC7DA6"/>
    <w:rsid w:val="00B03962"/>
    <w:rsid w:val="00B27341"/>
    <w:rsid w:val="00B81B62"/>
    <w:rsid w:val="00BD1CAA"/>
    <w:rsid w:val="00C53502"/>
    <w:rsid w:val="00C60971"/>
    <w:rsid w:val="00C66B40"/>
    <w:rsid w:val="00CB001C"/>
    <w:rsid w:val="00D358DC"/>
    <w:rsid w:val="00D6448C"/>
    <w:rsid w:val="00D84572"/>
    <w:rsid w:val="00D94E68"/>
    <w:rsid w:val="00DD3B36"/>
    <w:rsid w:val="00E67DC7"/>
    <w:rsid w:val="00E7483E"/>
    <w:rsid w:val="00EE39CA"/>
    <w:rsid w:val="00F053FD"/>
    <w:rsid w:val="00F36BCE"/>
    <w:rsid w:val="00F433E3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E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A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530A-5612-411C-AD4D-5F19B5FE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2021-09-08T10:14:00Z</dcterms:created>
  <dcterms:modified xsi:type="dcterms:W3CDTF">2021-09-08T10:14:00Z</dcterms:modified>
</cp:coreProperties>
</file>