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952" w:rsidRPr="00BE73A4" w:rsidRDefault="00FA5952" w:rsidP="00FA59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FA5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25B6">
        <w:rPr>
          <w:rFonts w:ascii="Times New Roman" w:eastAsia="Times New Roman" w:hAnsi="Times New Roman" w:cs="Times New Roman"/>
          <w:sz w:val="24"/>
          <w:szCs w:val="24"/>
          <w:lang w:eastAsia="pl-PL"/>
        </w:rPr>
        <w:t>OAP-II.420.33</w:t>
      </w:r>
      <w:r w:rsidR="00F57D69">
        <w:rPr>
          <w:rFonts w:ascii="Times New Roman" w:eastAsia="Times New Roman" w:hAnsi="Times New Roman" w:cs="Times New Roman"/>
          <w:sz w:val="24"/>
          <w:szCs w:val="24"/>
          <w:lang w:eastAsia="pl-PL"/>
        </w:rPr>
        <w:t>.2021</w:t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Kraków, dnia</w:t>
      </w:r>
      <w:r w:rsidR="00F57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25B6">
        <w:rPr>
          <w:rFonts w:ascii="Times New Roman" w:eastAsia="Times New Roman" w:hAnsi="Times New Roman" w:cs="Times New Roman"/>
          <w:sz w:val="24"/>
          <w:szCs w:val="24"/>
          <w:lang w:eastAsia="pl-PL"/>
        </w:rPr>
        <w:t>16 lipca</w:t>
      </w:r>
      <w:r w:rsidR="00F57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</w:t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FA5952" w:rsidRPr="00BE73A4" w:rsidRDefault="00FA5952" w:rsidP="00FA59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5952" w:rsidRPr="00BE73A4" w:rsidRDefault="00FA5952" w:rsidP="00FA5952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5952" w:rsidRPr="00BE73A4" w:rsidRDefault="00FA5952" w:rsidP="00FA5952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5952" w:rsidRPr="00BE73A4" w:rsidRDefault="00FA5952" w:rsidP="00FA5952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5952" w:rsidRPr="00BE73A4" w:rsidRDefault="00FA5952" w:rsidP="00FA5952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Do Państwa</w:t>
      </w:r>
    </w:p>
    <w:p w:rsidR="00FA5952" w:rsidRPr="00BE73A4" w:rsidRDefault="00FA5952" w:rsidP="00FA5952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Patronów koordynatorów </w:t>
      </w:r>
    </w:p>
    <w:p w:rsidR="00FA5952" w:rsidRPr="00BE73A4" w:rsidRDefault="00FA5952" w:rsidP="00FA5952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oraz Patronów praktyk </w:t>
      </w:r>
    </w:p>
    <w:p w:rsidR="00FA5952" w:rsidRPr="00BE73A4" w:rsidRDefault="00FA5952" w:rsidP="00FA5952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aplikantów aplikacji prokuratorskiej</w:t>
      </w:r>
    </w:p>
    <w:p w:rsidR="00FA5952" w:rsidRPr="00BE73A4" w:rsidRDefault="00FA5952" w:rsidP="00FA5952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5952" w:rsidRPr="00BE73A4" w:rsidRDefault="00FA5952" w:rsidP="00FA59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5952" w:rsidRPr="00BE73A4" w:rsidRDefault="00FA5952" w:rsidP="00FA59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FA5952" w:rsidRPr="00BE73A4" w:rsidRDefault="006F25B6" w:rsidP="00FA59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Dotyczy praktyk aplikantów 1</w:t>
      </w:r>
      <w:r w:rsidR="00FA5952" w:rsidRPr="00BE73A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rocznika </w:t>
      </w:r>
      <w:r w:rsidR="00FA595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aplikacji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uzupełniającej</w:t>
      </w:r>
      <w:r w:rsidR="00FA595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prokuratorskiej po XX</w:t>
      </w:r>
      <w:r w:rsidR="00FA5952" w:rsidRPr="00BE73A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V zjeździe</w:t>
      </w:r>
    </w:p>
    <w:p w:rsidR="00FA5952" w:rsidRPr="00BE73A4" w:rsidRDefault="00FA5952" w:rsidP="00FA59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FA5952" w:rsidRPr="00BE73A4" w:rsidRDefault="00FA5952" w:rsidP="00FA59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FA5952" w:rsidRPr="006F25B6" w:rsidRDefault="00FA5952" w:rsidP="00FA59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oparciu o § 2, 9 i 10 zarządzenia Dyrektora Krajowej Szkoły Sądownictwa </w:t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Prokuratury w Krakowie Nr 132/2019 z dnia 15 marca 2019 roku w sprawie szczegółowych zasad odbywania praktyki przez aplikantów aplikacji sędziowski</w:t>
      </w:r>
      <w:r w:rsidR="00F57D69">
        <w:rPr>
          <w:rFonts w:ascii="Times New Roman" w:eastAsia="Times New Roman" w:hAnsi="Times New Roman" w:cs="Times New Roman"/>
          <w:sz w:val="24"/>
          <w:szCs w:val="24"/>
          <w:lang w:eastAsia="pl-PL"/>
        </w:rPr>
        <w:t>ej i prokuratorskiej</w:t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>, uprzejmie przedstawiam szczegółowy zakres tematyczny, który powinien być przedmiotem praktyk aplikantów aplikacji</w:t>
      </w:r>
      <w:r w:rsidR="006F2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prokuratorskiej, odbywanych w</w:t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prokuraturach okręgowych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wydziałach do spraw przestępczości gospodarczej</w:t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25B6" w:rsidRPr="006F25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wymiarze 1 dnia w okresie od 20 do 24 września 2021 r. oraz 1 dnia w okresie od 27 września do 1 października 2021 r</w:t>
      </w:r>
      <w:r w:rsidRPr="006F25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FA5952" w:rsidRPr="00BE73A4" w:rsidRDefault="00FA5952" w:rsidP="00FA59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Zasadniczym celem praktyk jest zaznajomienie aplikantów z czynnościami i metodyką pracy patrona oraz doskonalenie umiejętności wykorzystania wiedzy teoretycznej </w:t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znajomości orzecznictwa. Każdorazowo praktyka winna utrwalić wiedzę zdobytą podczas bezpośrednio poprzedzających ją zajęć seminaryjnych w ramach zjazdu. </w:t>
      </w:r>
    </w:p>
    <w:p w:rsidR="00FA5952" w:rsidRPr="00BE73A4" w:rsidRDefault="00FA5952" w:rsidP="00FA59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XX</w:t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>V zjazdu aplika</w:t>
      </w:r>
      <w:r w:rsidR="00E76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cji prokuratorskiej, który odbędzie  się </w:t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dniach </w:t>
      </w:r>
      <w:r w:rsidR="00D96B59">
        <w:rPr>
          <w:rFonts w:ascii="Times New Roman" w:eastAsia="Times New Roman" w:hAnsi="Times New Roman" w:cs="Times New Roman"/>
          <w:sz w:val="24"/>
          <w:szCs w:val="24"/>
          <w:lang w:eastAsia="pl-PL"/>
        </w:rPr>
        <w:t>18-19 września</w:t>
      </w:r>
      <w:r w:rsidR="00E76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 roku, będą</w:t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 zagadnienia:</w:t>
      </w:r>
    </w:p>
    <w:p w:rsidR="00D96B59" w:rsidRPr="00D96B59" w:rsidRDefault="00D96B59" w:rsidP="00D96B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D96B5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Zasady podejmowania i prowadzenia działalności gospodarczej</w:t>
      </w:r>
    </w:p>
    <w:p w:rsidR="00D96B59" w:rsidRPr="00D96B59" w:rsidRDefault="00D96B59" w:rsidP="00D96B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Pojęcie obrotu gospodarczego. Pojęcie działalności gospodarczej. Zasada wolności działalności gospodarczej. Wolność gospodarcza w Konstytucji i prawie unijnym. Podejmowanie działalności gospodarczej. Zasady prowadzenia działalności gospodarczej. Ograniczenia  w swobodzie prowadzenia działalności gospodarczej. </w:t>
      </w:r>
    </w:p>
    <w:p w:rsidR="00D96B59" w:rsidRPr="00D96B59" w:rsidRDefault="00D96B59" w:rsidP="00D96B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B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Przedsiębiorcy, organizacje non profit i non for profit oraz inne podmioty w działalności gospodarczej.</w:t>
      </w:r>
    </w:p>
    <w:p w:rsidR="00D96B59" w:rsidRPr="00D96B59" w:rsidRDefault="00D96B59" w:rsidP="00D96B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B59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Pojęcie przedsiębiorcy i przedsiębiorstwa. Organizacyjno-prawne formy prowadzenia działalności gospodarczej. Rejestr przedsiębiorców Krajowego Rejestru Sądowego, podmioty podlegające wpisowi i działy rejestru. Centralna Ewidencja i Informacja o Działalności Gospodarczej.</w:t>
      </w:r>
    </w:p>
    <w:p w:rsidR="00D96B59" w:rsidRPr="00D96B59" w:rsidRDefault="00D96B59" w:rsidP="00D96B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B5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 – jego firma i przedstawicielstwo.</w:t>
      </w:r>
    </w:p>
    <w:p w:rsidR="00D96B59" w:rsidRPr="00D96B59" w:rsidRDefault="00D96B59" w:rsidP="00D96B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B59">
        <w:rPr>
          <w:rFonts w:ascii="Times New Roman" w:eastAsia="Times New Roman" w:hAnsi="Times New Roman" w:cs="Times New Roman"/>
          <w:sz w:val="24"/>
          <w:szCs w:val="24"/>
          <w:lang w:eastAsia="pl-PL"/>
        </w:rPr>
        <w:t>Firma przedsiębiorcy. Przedstawicielstwo przedsiębiorcy w obrocie gospodarczym. Prokura, jej cechy i rodzaje.</w:t>
      </w:r>
    </w:p>
    <w:p w:rsidR="00D96B59" w:rsidRPr="00D96B59" w:rsidRDefault="00D96B59" w:rsidP="00D96B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D96B5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Spółka cywilna </w:t>
      </w:r>
    </w:p>
    <w:p w:rsidR="00D96B59" w:rsidRPr="00D96B59" w:rsidRDefault="00D96B59" w:rsidP="00D96B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odpowiedzialności za zobowiązania spółki cywilnej. Odpowiedzialność karna wspólnika za czyny na szkodę spółki. </w:t>
      </w:r>
    </w:p>
    <w:p w:rsidR="00D96B59" w:rsidRPr="00D96B59" w:rsidRDefault="00D96B59" w:rsidP="00D96B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D96B5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Prawo handlowe </w:t>
      </w:r>
    </w:p>
    <w:p w:rsidR="00D96B59" w:rsidRPr="00D96B59" w:rsidRDefault="00D96B59" w:rsidP="00D96B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Spółki osobowe: spółka jawna, spółka komandytowa, spółka komandytowo-akcyjna, spółka partnerska – sposób tworzenia, podstawowe cechy, prowadzenie spraw i reprezentacja, zasady odpowiedzialności wspólników i spółek za zobowiązania spółki. </w:t>
      </w:r>
    </w:p>
    <w:p w:rsidR="00D96B59" w:rsidRPr="00D96B59" w:rsidRDefault="00D96B59" w:rsidP="00D96B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Spółki kapitałowe: spółka z ograniczoną odpowiedzialnością i spółka akcyjna, spółka europejska. Sposoby tworzenia i pokrycia kapitału. Władze spółki i zasady reprezentacji. Zasady odpowiedzialności  za zobowiązania spółki.  </w:t>
      </w:r>
    </w:p>
    <w:p w:rsidR="00FA5952" w:rsidRPr="00D96B59" w:rsidRDefault="00D96B59" w:rsidP="00FA59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odpowiedzialności cywilnej i karnej w spółkach prawa handlowego. </w:t>
      </w:r>
    </w:p>
    <w:p w:rsidR="00FA5952" w:rsidRPr="00BE73A4" w:rsidRDefault="00FA5952" w:rsidP="00FA59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praktyki jest udział w czynnościach postępowania przygotowawczego podejmowanych w sprawach objętych tematyką zjazdu, w tym sporządzanie wniosku prokuratora o wszczęcie postępowania w sprawie o pozbawienie prawa prowadzenia działalności gospodarczej. Aplikanci powinni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także</w:t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nabyć umiejętność odróżniania dozwolonych i niedozwolonych </w:t>
      </w:r>
      <w:proofErr w:type="spellStart"/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uczestników obrotu gospodarczego, a także gromadzenia i oceny dowodów w sprawach o przestępstwa gospodarcze.</w:t>
      </w:r>
    </w:p>
    <w:p w:rsidR="00FA5952" w:rsidRPr="00BE73A4" w:rsidRDefault="00FA5952" w:rsidP="00FA59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Wskazane jest również zapoznanie aplikantów z aktualnie prowadzonymi, a także zakończonymi postępowaniami, dotyczącymi zaniechania złożenia wniosku o ogłoszenie upadłości z art. 586 </w:t>
      </w:r>
      <w:proofErr w:type="spellStart"/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>k.s.h</w:t>
      </w:r>
      <w:proofErr w:type="spellEnd"/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A5952" w:rsidRPr="00BE73A4" w:rsidRDefault="00FA5952" w:rsidP="00FA59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Aplikanci powinni mieć także możliwość zapoznania się z trybem postępowania prokuratora w przedmiocie wniosku o zwolnienie z tajemnicy bankowej oraz                                      z postanowieniami o wstrzymaniu transakcji oraz dokonaniu blokady środków na rachunku bankowym na czas oznaczony, na podstawie przepisów ustawy z dnia 29 sierpnia 1997 r. </w:t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Prawo bankowe (Dz. U. 2017, poz. 1876), a także z postępowaniami prowadzonymi                             o przestępstwa wymienione we wskazanej ustawie.</w:t>
      </w:r>
    </w:p>
    <w:p w:rsidR="00FA5952" w:rsidRPr="00BE73A4" w:rsidRDefault="00D96B59" w:rsidP="00FA59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FA5952"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:rsidR="00FA5952" w:rsidRDefault="00FA5952" w:rsidP="00FA59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nie wyklucza powierzania aplikantom również innych zadań wynikających z normalnego toku pracy prokuratorskiej – zwłaszcza takich, z którymi dotychczas jeszcze się nie zetknęli. Zadania te jednak mogą mieć wyłącznie charakter uzupełniający w stosunku do przedmiotu praktyki okr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eślonego w programie aplikacji. </w:t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>Patroni zadbać powinni, by nie przeważały one w trakcie praktyki oraz aby aplikanci mogli pracować także na materiałach (sprawach), którymi patron formalnie się nie zajmuje, zwłaszcza gdyby miało to umożliwić im poznanie szerokiego zakresu zagadnień 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ązanych nie tylko bezpośrednio</w:t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tematyką poprzedzającego zjazdu, ale też wpływających na podniesienie ich ogólnych umiejętności. Służyć ma temu również zapoznanie aplikantów z zasadami biurowości, w tym prowadzenia urządzeń ewidencyjnych.</w:t>
      </w:r>
    </w:p>
    <w:p w:rsidR="00FA5952" w:rsidRDefault="00FA5952" w:rsidP="00FA5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047" w:rsidRPr="00BE73A4" w:rsidRDefault="008B2047" w:rsidP="00FA5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5952" w:rsidRPr="00BE73A4" w:rsidRDefault="00FA5952" w:rsidP="00FA5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5952" w:rsidRPr="00BE73A4" w:rsidRDefault="00FA5952" w:rsidP="00FA5952">
      <w:pPr>
        <w:spacing w:after="0" w:line="36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Działu Dydaktycznego</w:t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Ośrodka Aplikacji Prokuratorskiej</w:t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Krajowej Szkoły Sądownictwa i Prokuratury</w:t>
      </w:r>
    </w:p>
    <w:p w:rsidR="00FA5952" w:rsidRPr="00BE73A4" w:rsidRDefault="00FA5952" w:rsidP="00FA5952">
      <w:pPr>
        <w:spacing w:after="0" w:line="36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5952" w:rsidRPr="00BE73A4" w:rsidRDefault="00FA5952" w:rsidP="00FA5952">
      <w:pPr>
        <w:spacing w:after="0" w:line="360" w:lineRule="auto"/>
        <w:ind w:left="353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>Marta Zin</w:t>
      </w:r>
    </w:p>
    <w:p w:rsidR="00FA5952" w:rsidRPr="00BE73A4" w:rsidRDefault="00FA5952" w:rsidP="00FA5952">
      <w:pPr>
        <w:spacing w:after="0" w:line="36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prokurator  </w:t>
      </w:r>
    </w:p>
    <w:p w:rsidR="000B4076" w:rsidRDefault="000B4076"/>
    <w:sectPr w:rsidR="000B4076" w:rsidSect="003D147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D9A" w:rsidRDefault="00552D9A">
      <w:pPr>
        <w:spacing w:after="0" w:line="240" w:lineRule="auto"/>
      </w:pPr>
      <w:r>
        <w:separator/>
      </w:r>
    </w:p>
  </w:endnote>
  <w:endnote w:type="continuationSeparator" w:id="0">
    <w:p w:rsidR="00552D9A" w:rsidRDefault="0055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0F" w:rsidRDefault="005C137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691533">
      <w:rPr>
        <w:noProof/>
      </w:rPr>
      <w:t>3</w:t>
    </w:r>
    <w:r>
      <w:rPr>
        <w:noProof/>
      </w:rPr>
      <w:fldChar w:fldCharType="end"/>
    </w:r>
  </w:p>
  <w:p w:rsidR="001B510F" w:rsidRDefault="00552D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B510F" w:rsidTr="003D147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B510F" w:rsidRPr="0074505E" w:rsidRDefault="00552D9A" w:rsidP="003D147B">
          <w:pPr>
            <w:pStyle w:val="Stopka"/>
            <w:rPr>
              <w:sz w:val="4"/>
              <w:szCs w:val="4"/>
            </w:rPr>
          </w:pPr>
        </w:p>
      </w:tc>
    </w:tr>
  </w:tbl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B510F" w:rsidRDefault="00552D9A" w:rsidP="003D14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D9A" w:rsidRDefault="00552D9A">
      <w:pPr>
        <w:spacing w:after="0" w:line="240" w:lineRule="auto"/>
      </w:pPr>
      <w:r>
        <w:separator/>
      </w:r>
    </w:p>
  </w:footnote>
  <w:footnote w:type="continuationSeparator" w:id="0">
    <w:p w:rsidR="00552D9A" w:rsidRDefault="00552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0F" w:rsidRPr="009B38B3" w:rsidRDefault="005C1373" w:rsidP="003D147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0F" w:rsidRDefault="005C1373" w:rsidP="003D147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B510F" w:rsidRDefault="00552D9A" w:rsidP="003D147B">
    <w:pPr>
      <w:pStyle w:val="Nagwek"/>
      <w:ind w:right="4959"/>
      <w:jc w:val="center"/>
      <w:rPr>
        <w:b/>
      </w:rPr>
    </w:pPr>
  </w:p>
  <w:p w:rsidR="001B510F" w:rsidRPr="009E7ADE" w:rsidRDefault="00552D9A" w:rsidP="003D147B">
    <w:pPr>
      <w:pStyle w:val="Nagwek"/>
      <w:ind w:left="-851" w:right="5526"/>
      <w:jc w:val="center"/>
      <w:rPr>
        <w:b/>
        <w:sz w:val="8"/>
        <w:szCs w:val="8"/>
      </w:rPr>
    </w:pPr>
  </w:p>
  <w:p w:rsidR="001B510F" w:rsidRPr="00551ABF" w:rsidRDefault="005C1373" w:rsidP="003D147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B510F" w:rsidRDefault="005C1373" w:rsidP="003D147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E20B98" w:rsidRPr="00D021CB" w:rsidRDefault="00552D9A" w:rsidP="003D147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51A2"/>
    <w:multiLevelType w:val="hybridMultilevel"/>
    <w:tmpl w:val="8E281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95140"/>
    <w:multiLevelType w:val="hybridMultilevel"/>
    <w:tmpl w:val="B6569054"/>
    <w:lvl w:ilvl="0" w:tplc="220463B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73"/>
    <w:rsid w:val="0003365C"/>
    <w:rsid w:val="000B4076"/>
    <w:rsid w:val="00295A5F"/>
    <w:rsid w:val="00313D8C"/>
    <w:rsid w:val="00435CDB"/>
    <w:rsid w:val="004541AD"/>
    <w:rsid w:val="00482F4C"/>
    <w:rsid w:val="004A5275"/>
    <w:rsid w:val="00552D9A"/>
    <w:rsid w:val="005C1373"/>
    <w:rsid w:val="00691533"/>
    <w:rsid w:val="006F25B6"/>
    <w:rsid w:val="00804944"/>
    <w:rsid w:val="008B2047"/>
    <w:rsid w:val="009F7D4B"/>
    <w:rsid w:val="00A51E83"/>
    <w:rsid w:val="00BC1096"/>
    <w:rsid w:val="00C16AAF"/>
    <w:rsid w:val="00C328F1"/>
    <w:rsid w:val="00D96B59"/>
    <w:rsid w:val="00E761DB"/>
    <w:rsid w:val="00ED39E2"/>
    <w:rsid w:val="00F57D69"/>
    <w:rsid w:val="00F866FC"/>
    <w:rsid w:val="00FA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9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Akapitzlist">
    <w:name w:val="List Paragraph"/>
    <w:basedOn w:val="Normalny"/>
    <w:uiPriority w:val="34"/>
    <w:qFormat/>
    <w:rsid w:val="00FA5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9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Akapitzlist">
    <w:name w:val="List Paragraph"/>
    <w:basedOn w:val="Normalny"/>
    <w:uiPriority w:val="34"/>
    <w:qFormat/>
    <w:rsid w:val="00FA5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Małgorzata Daliniewska</cp:lastModifiedBy>
  <cp:revision>2</cp:revision>
  <dcterms:created xsi:type="dcterms:W3CDTF">2021-07-19T12:04:00Z</dcterms:created>
  <dcterms:modified xsi:type="dcterms:W3CDTF">2021-07-19T12:04:00Z</dcterms:modified>
</cp:coreProperties>
</file>