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52" w:rsidRPr="00BE73A4" w:rsidRDefault="00FA5952" w:rsidP="00FA59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9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7D69"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OAP-II.420.7.2021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Kraków, dnia</w:t>
      </w:r>
      <w:r w:rsidR="00F57D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41AD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57D69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2021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FA5952" w:rsidRPr="00BE73A4" w:rsidRDefault="00FA5952" w:rsidP="00FA59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952" w:rsidRPr="00BE73A4" w:rsidRDefault="00FA5952" w:rsidP="00FA5952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5952" w:rsidRPr="00BE73A4" w:rsidRDefault="00FA5952" w:rsidP="00FA5952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5952" w:rsidRPr="00BE73A4" w:rsidRDefault="00FA5952" w:rsidP="00FA5952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5952" w:rsidRPr="00BE73A4" w:rsidRDefault="00FA5952" w:rsidP="00FA5952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Do Państwa</w:t>
      </w:r>
    </w:p>
    <w:p w:rsidR="00FA5952" w:rsidRPr="00BE73A4" w:rsidRDefault="00FA5952" w:rsidP="00FA5952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Patronów koordynatorów </w:t>
      </w:r>
    </w:p>
    <w:p w:rsidR="00FA5952" w:rsidRPr="00BE73A4" w:rsidRDefault="00FA5952" w:rsidP="00FA5952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oraz Patronów praktyk </w:t>
      </w:r>
    </w:p>
    <w:p w:rsidR="00FA5952" w:rsidRPr="00BE73A4" w:rsidRDefault="00FA5952" w:rsidP="00FA5952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aplikantów aplikacji prokuratorskiej</w:t>
      </w:r>
    </w:p>
    <w:p w:rsidR="00FA5952" w:rsidRPr="00BE73A4" w:rsidRDefault="00FA5952" w:rsidP="00FA5952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5952" w:rsidRPr="00BE73A4" w:rsidRDefault="00FA5952" w:rsidP="00FA59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952" w:rsidRPr="00BE73A4" w:rsidRDefault="00FA5952" w:rsidP="00FA59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A5952" w:rsidRPr="00BE73A4" w:rsidRDefault="004D1C59" w:rsidP="00FA59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Dotyczy praktyk aplikantów X</w:t>
      </w:r>
      <w:r w:rsidR="00FA5952" w:rsidRPr="00BE73A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rocznika </w:t>
      </w:r>
      <w:r w:rsidR="00FA595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aplikacji prokuratorskiej po XX</w:t>
      </w:r>
      <w:r w:rsidR="00FA5952" w:rsidRPr="00BE73A4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V zjeździe</w:t>
      </w:r>
    </w:p>
    <w:p w:rsidR="00FA5952" w:rsidRPr="00BE73A4" w:rsidRDefault="00FA5952" w:rsidP="00FA59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A5952" w:rsidRPr="00BE73A4" w:rsidRDefault="00FA5952" w:rsidP="00FA59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FA5952" w:rsidRPr="00BE73A4" w:rsidRDefault="00FA5952" w:rsidP="00FA59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oparciu o § 2, 9 i 10 zarządzenia Dyrektora Krajowej Szkoły Sądownictwa 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Prokuratury w Krakowie Nr 132/2019 z dnia 15 marca 2019 roku w sprawie szczegółowych zasad odbywania praktyki przez aplikantów aplikacji sędziowski</w:t>
      </w:r>
      <w:r w:rsidR="00F57D69">
        <w:rPr>
          <w:rFonts w:ascii="Times New Roman" w:eastAsia="Times New Roman" w:hAnsi="Times New Roman" w:cs="Times New Roman"/>
          <w:sz w:val="24"/>
          <w:szCs w:val="24"/>
          <w:lang w:eastAsia="pl-PL"/>
        </w:rPr>
        <w:t>ej i prokuratorskiej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uprzejmie przedstawiam szczegółowy zakres tematyczny, który powinien być przedmiotem praktyk aplikantów aplikacji prokuratorskiej, odbywanych w:  prokuraturach okręgowych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wydziałach do spraw przestępczości gospodarczej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okresie od </w:t>
      </w:r>
      <w:r w:rsidR="00E761DB">
        <w:rPr>
          <w:rFonts w:ascii="Times New Roman" w:eastAsia="Times New Roman" w:hAnsi="Times New Roman" w:cs="Times New Roman"/>
          <w:sz w:val="24"/>
          <w:szCs w:val="24"/>
          <w:lang w:eastAsia="pl-PL"/>
        </w:rPr>
        <w:t>24 maja do 4 czerwca 2021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roku),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prokuraturach rejonowych działach śledczych</w:t>
      </w:r>
      <w:r w:rsidR="00E76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okresie od 7 do 11 czerwca 2021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roku).</w:t>
      </w:r>
    </w:p>
    <w:p w:rsidR="00FA5952" w:rsidRPr="00BE73A4" w:rsidRDefault="00FA5952" w:rsidP="00FA59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Zasadniczym celem praktyk jest zaznajomienie aplikantów z czynnościami i metodyką pracy patrona oraz doskonalenie umiejętności wykorzystania wiedzy teoretycznej 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znajomości orzecznictwa. Każdorazowo praktyka winna utrwalić wiedzę zdobytą podczas bezpośrednio poprzedzających ją zajęć seminaryjnych w ramach zjazdu. </w:t>
      </w:r>
    </w:p>
    <w:p w:rsidR="00FA5952" w:rsidRPr="00BE73A4" w:rsidRDefault="00FA5952" w:rsidP="00FA59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XX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>V zjazdu aplika</w:t>
      </w:r>
      <w:r w:rsidR="00E761DB">
        <w:rPr>
          <w:rFonts w:ascii="Times New Roman" w:eastAsia="Times New Roman" w:hAnsi="Times New Roman" w:cs="Times New Roman"/>
          <w:sz w:val="24"/>
          <w:szCs w:val="24"/>
          <w:lang w:eastAsia="pl-PL"/>
        </w:rPr>
        <w:t>cji prokuratorskiej, który odbędzie  się w sposób</w:t>
      </w:r>
      <w:r w:rsidR="00FC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zdalny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dniach </w:t>
      </w:r>
      <w:r w:rsidR="00E761DB">
        <w:rPr>
          <w:rFonts w:ascii="Times New Roman" w:eastAsia="Times New Roman" w:hAnsi="Times New Roman" w:cs="Times New Roman"/>
          <w:sz w:val="24"/>
          <w:szCs w:val="24"/>
          <w:lang w:eastAsia="pl-PL"/>
        </w:rPr>
        <w:t>17-21 maja 2021 roku, będą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zagadnienia:</w:t>
      </w:r>
    </w:p>
    <w:p w:rsidR="00FA5952" w:rsidRPr="00BE73A4" w:rsidRDefault="00FA5952" w:rsidP="00FA595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 – jego firma i przedstawicielstwo</w:t>
      </w:r>
    </w:p>
    <w:p w:rsidR="00FA5952" w:rsidRDefault="00FA5952" w:rsidP="00FA59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przedsiębiorcy. Przedstawicielstwo przedsiębiorcy w obrocie gospodarczym. Prokura, jej cechy i rodzaje.</w:t>
      </w:r>
    </w:p>
    <w:p w:rsidR="00FA5952" w:rsidRDefault="00FA5952" w:rsidP="00FA59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952" w:rsidRPr="00BE73A4" w:rsidRDefault="00FA5952" w:rsidP="00FA59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952" w:rsidRPr="00BE73A4" w:rsidRDefault="00FA5952" w:rsidP="00FA595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Spółka cywilna </w:t>
      </w:r>
    </w:p>
    <w:p w:rsidR="00FA5952" w:rsidRPr="00BE73A4" w:rsidRDefault="00FA5952" w:rsidP="00FA59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odpowiedzialności za zobowiązania spółki cywilnej. Odpowiedzialność karna wspólnika za czyny na szkodę spółki. </w:t>
      </w:r>
    </w:p>
    <w:p w:rsidR="00FA5952" w:rsidRPr="00BE73A4" w:rsidRDefault="00FA5952" w:rsidP="00FA595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handlowe </w:t>
      </w:r>
    </w:p>
    <w:p w:rsidR="00FA5952" w:rsidRPr="00BE73A4" w:rsidRDefault="00FA5952" w:rsidP="00FA59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Spółki osobowe: spółka jawna, spółka komandytowa, spółka komandytowo-akcyjna, spółka partnerska – sposób tworzenia, podstawowe cechy, prowadzenie spraw i reprezentacja, zasady odpowiedzialności wspólników i spółek za zobowiązania spółki. </w:t>
      </w:r>
    </w:p>
    <w:p w:rsidR="00FA5952" w:rsidRPr="00BE73A4" w:rsidRDefault="00FA5952" w:rsidP="00FA59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Spółki kapitałowe: spółka z ograniczoną odpowiedzialnością i spółka akcyjna, spółka europejska. Sposoby tworzenia i pokrycia kapitału. Władze spółki i zasady reprezentacji. Zasady odpowiedzialności  za zobowiązania spółki.  </w:t>
      </w:r>
    </w:p>
    <w:p w:rsidR="00FA5952" w:rsidRPr="00BE73A4" w:rsidRDefault="00FA5952" w:rsidP="00FA59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odpowiedzialności cywilnej i karnej w spółkach prawa handlowego. </w:t>
      </w:r>
    </w:p>
    <w:p w:rsidR="00FA5952" w:rsidRPr="00BE73A4" w:rsidRDefault="00FA5952" w:rsidP="00FA5952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upadłościowe i restrukturyzacyjne </w:t>
      </w:r>
    </w:p>
    <w:p w:rsidR="00FA5952" w:rsidRPr="00BE73A4" w:rsidRDefault="00FA5952" w:rsidP="00FA59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 postępowania upadłościowego, przesłanki ogłoszenia upadłości, udział prokuratora w postępowaniu upadłościowym, przepisy karne. Prawo restrukturyzacyjne. Rodzaje postępowań restrukturyzacyjnych i ich cele. Odpowiedzialność karna z tytułu niezłożenia wniosku o ogłoszenie upadłości spółki handlowej (art. 586 </w:t>
      </w:r>
      <w:proofErr w:type="spellStart"/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>k.s.h</w:t>
      </w:r>
      <w:proofErr w:type="spellEnd"/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.). </w:t>
      </w:r>
    </w:p>
    <w:p w:rsidR="00FA5952" w:rsidRPr="00BE73A4" w:rsidRDefault="00FA5952" w:rsidP="00FA5952">
      <w:pPr>
        <w:spacing w:after="0" w:line="360" w:lineRule="auto"/>
        <w:jc w:val="both"/>
        <w:rPr>
          <w:rFonts w:ascii="Times New Roman" w:eastAsia="Calibri" w:hAnsi="Times New Roman" w:cs="Times New Roman"/>
          <w:kern w:val="144"/>
          <w:sz w:val="24"/>
          <w:szCs w:val="24"/>
          <w:lang w:eastAsia="pl-PL"/>
        </w:rPr>
      </w:pPr>
    </w:p>
    <w:p w:rsidR="00FA5952" w:rsidRPr="00BE73A4" w:rsidRDefault="00FA5952" w:rsidP="00FA59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praktyki jest udział w czynnościach postępowania przygotowawczego podejmowanych w sprawach objętych tematyką zjazdu, w tym sporządzanie wniosku prokuratora o wszczęcie postępowania w sprawie o pozbawienie prawa prowadzenia działalności gospodarczej. Aplikanci powinni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nabyć umiejętność odróżniania dozwolonych i niedozwolonych </w:t>
      </w:r>
      <w:proofErr w:type="spellStart"/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uczestników obrotu gospodarczego, a także gromadzenia i oceny dowodów w sprawach o przestępstwa gospodarcze.</w:t>
      </w:r>
    </w:p>
    <w:p w:rsidR="00FA5952" w:rsidRPr="00BE73A4" w:rsidRDefault="00FA5952" w:rsidP="00FA59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Wskazane jest również zapoznanie aplikantów z aktualnie prowadzonymi, a także zakończonymi postępowaniami, dotyczącymi zaniechania złożenia wniosku o ogłoszenie upadłości z art. 586 </w:t>
      </w:r>
      <w:proofErr w:type="spellStart"/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>k.s.h</w:t>
      </w:r>
      <w:proofErr w:type="spellEnd"/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FA5952" w:rsidRPr="00BE73A4" w:rsidRDefault="00FA5952" w:rsidP="00FA59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Aplikanci powinni mieć także możliwość zapoznania się z trybem postępowania prokuratora w przedmiocie wniosku o zwolnienie z tajemnicy bankowej oraz                                      z postanowieniami o wstrzymaniu transakcji oraz dokonaniu blokady środków na rachunku bankowym na czas oznaczony, na podstawie przepisów ustawy z dnia 29 sierpnia 1997 r. Prawo bankowe (Dz. U. 2017, poz. 1876), a także z postępowaniami prowadzonymi                             o przestępstwa wymienione we wskazanej ustawie.</w:t>
      </w:r>
    </w:p>
    <w:p w:rsidR="00FA5952" w:rsidRPr="00BE73A4" w:rsidRDefault="00FA5952" w:rsidP="00FA59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</w:p>
    <w:p w:rsidR="00FA5952" w:rsidRDefault="00FA5952" w:rsidP="00FA59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Powyższe nie wyklucza powierzania aplikantom również innych zadań wynikających z normalnego toku pracy prokuratorskiej – zwłaszcza takich, z którymi dotychczas jeszcze się nie zetknęli. Zadania te jednak mogą mieć wyłącznie charakter uzupełniający w stosunku do przedmiotu praktyki okr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eślonego w programie aplikacji. 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>Patroni zadbać powinni, by nie przeważały one w trakcie praktyki oraz aby aplikanci mogli pracować także na materiałach (sprawach), którymi patron formalnie się nie zajmuje, zwłaszcza gdyby miało to umożliwić im poznanie szerokiego zakresu zagadnień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ązanych nie tylko bezpośrednio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tematyką poprzedzającego zjazdu, ale też wpływających na podniesienie ich ogólnych umiejętności. Służyć ma temu również zapoznanie aplikantów z zasadami biurowości, w tym prowadzenia urządzeń ewidencyjnych.</w:t>
      </w:r>
      <w:bookmarkStart w:id="0" w:name="_GoBack"/>
      <w:bookmarkEnd w:id="0"/>
    </w:p>
    <w:p w:rsidR="0003365C" w:rsidRPr="0003365C" w:rsidRDefault="0003365C" w:rsidP="00FC3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047">
        <w:rPr>
          <w:rFonts w:ascii="Times New Roman" w:hAnsi="Times New Roman" w:cs="Times New Roman"/>
          <w:sz w:val="24"/>
          <w:szCs w:val="24"/>
        </w:rPr>
        <w:t>Końcowo uprzejmie informuję, że przedmiotem sprawdzianu wiedzy, który aplikanci będą pisać po odbyciu praktyk po XXV zjeździe, tj. w dniu 14 czerwca 2021 r. będzie sporządzenie projektu wniosku prokuratora o wszczęcie postępowania w sprawie o pozbawienie prawa prowadzenia działalności gospodarczej wraz z uzasadnieniem</w:t>
      </w:r>
      <w:r w:rsidRPr="0003365C">
        <w:rPr>
          <w:rFonts w:ascii="Times New Roman" w:hAnsi="Times New Roman" w:cs="Times New Roman"/>
          <w:sz w:val="24"/>
          <w:szCs w:val="24"/>
        </w:rPr>
        <w:t>. Dlatego ważnym jest, aby aplikanci podczas praktyk opanowali tę umiejętność w jak najwyższym stopniu.</w:t>
      </w:r>
    </w:p>
    <w:p w:rsidR="00FA5952" w:rsidRDefault="00FA5952" w:rsidP="00FA5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047" w:rsidRPr="00BE73A4" w:rsidRDefault="008B2047" w:rsidP="00FA5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952" w:rsidRPr="00BE73A4" w:rsidRDefault="00FA5952" w:rsidP="00FA5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952" w:rsidRPr="00BE73A4" w:rsidRDefault="00FA5952" w:rsidP="00FA5952">
      <w:pPr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Działu Dydaktycznego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Ośrodka Aplikacji Prokuratorskiej</w:t>
      </w: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Krajowej Szkoły Sądownictwa i Prokuratury</w:t>
      </w:r>
    </w:p>
    <w:p w:rsidR="00FA5952" w:rsidRPr="00BE73A4" w:rsidRDefault="00FA5952" w:rsidP="00FA5952">
      <w:pPr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5952" w:rsidRPr="00BE73A4" w:rsidRDefault="00FA5952" w:rsidP="00FA5952">
      <w:pPr>
        <w:spacing w:after="0" w:line="360" w:lineRule="auto"/>
        <w:ind w:left="353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>Marta Zin</w:t>
      </w:r>
    </w:p>
    <w:p w:rsidR="00FA5952" w:rsidRPr="00BE73A4" w:rsidRDefault="00FA5952" w:rsidP="00FA5952">
      <w:pPr>
        <w:spacing w:after="0" w:line="36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73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prokurator  </w:t>
      </w:r>
    </w:p>
    <w:p w:rsidR="000B4076" w:rsidRDefault="000B4076"/>
    <w:sectPr w:rsidR="000B4076" w:rsidSect="003D147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AE" w:rsidRDefault="002719AE">
      <w:pPr>
        <w:spacing w:after="0" w:line="240" w:lineRule="auto"/>
      </w:pPr>
      <w:r>
        <w:separator/>
      </w:r>
    </w:p>
  </w:endnote>
  <w:endnote w:type="continuationSeparator" w:id="0">
    <w:p w:rsidR="002719AE" w:rsidRDefault="00271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FC3909">
      <w:rPr>
        <w:noProof/>
      </w:rPr>
      <w:t>3</w:t>
    </w:r>
    <w:r>
      <w:rPr>
        <w:noProof/>
      </w:rPr>
      <w:fldChar w:fldCharType="end"/>
    </w:r>
  </w:p>
  <w:p w:rsidR="001B510F" w:rsidRDefault="002719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2719AE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2719AE" w:rsidP="003D14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AE" w:rsidRDefault="002719AE">
      <w:pPr>
        <w:spacing w:after="0" w:line="240" w:lineRule="auto"/>
      </w:pPr>
      <w:r>
        <w:separator/>
      </w:r>
    </w:p>
  </w:footnote>
  <w:footnote w:type="continuationSeparator" w:id="0">
    <w:p w:rsidR="002719AE" w:rsidRDefault="00271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2719AE" w:rsidP="003D147B">
    <w:pPr>
      <w:pStyle w:val="Nagwek"/>
      <w:ind w:right="4959"/>
      <w:jc w:val="center"/>
      <w:rPr>
        <w:b/>
      </w:rPr>
    </w:pPr>
  </w:p>
  <w:p w:rsidR="001B510F" w:rsidRPr="009E7ADE" w:rsidRDefault="002719AE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2719AE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51A2"/>
    <w:multiLevelType w:val="hybridMultilevel"/>
    <w:tmpl w:val="8E281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73"/>
    <w:rsid w:val="0003365C"/>
    <w:rsid w:val="000B4076"/>
    <w:rsid w:val="002719AE"/>
    <w:rsid w:val="00295A5F"/>
    <w:rsid w:val="00313D8C"/>
    <w:rsid w:val="00435CDB"/>
    <w:rsid w:val="004541AD"/>
    <w:rsid w:val="00482F4C"/>
    <w:rsid w:val="0048741A"/>
    <w:rsid w:val="004D1C59"/>
    <w:rsid w:val="005C1373"/>
    <w:rsid w:val="00804944"/>
    <w:rsid w:val="00896305"/>
    <w:rsid w:val="008B2047"/>
    <w:rsid w:val="009F7D4B"/>
    <w:rsid w:val="00A51E83"/>
    <w:rsid w:val="00BC1096"/>
    <w:rsid w:val="00C16AAF"/>
    <w:rsid w:val="00C328F1"/>
    <w:rsid w:val="00E761DB"/>
    <w:rsid w:val="00ED39E2"/>
    <w:rsid w:val="00F57D69"/>
    <w:rsid w:val="00F866FC"/>
    <w:rsid w:val="00FA5952"/>
    <w:rsid w:val="00FC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Akapitzlist">
    <w:name w:val="List Paragraph"/>
    <w:basedOn w:val="Normalny"/>
    <w:uiPriority w:val="34"/>
    <w:qFormat/>
    <w:rsid w:val="00FA59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9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Akapitzlist">
    <w:name w:val="List Paragraph"/>
    <w:basedOn w:val="Normalny"/>
    <w:uiPriority w:val="34"/>
    <w:qFormat/>
    <w:rsid w:val="00FA5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4</cp:revision>
  <dcterms:created xsi:type="dcterms:W3CDTF">2021-04-13T05:39:00Z</dcterms:created>
  <dcterms:modified xsi:type="dcterms:W3CDTF">2021-04-13T05:55:00Z</dcterms:modified>
</cp:coreProperties>
</file>