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BE286" w14:textId="77777777" w:rsidR="00A24D29" w:rsidRDefault="00A24D29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bookmarkStart w:id="0" w:name="_GoBack"/>
      <w:bookmarkEnd w:id="0"/>
    </w:p>
    <w:p w14:paraId="5F3F9ECD" w14:textId="107F50D0" w:rsidR="007C3A8C" w:rsidRDefault="007C3A8C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CFCCF7" wp14:editId="17F6DA1A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20"/>
        </w:rPr>
        <w:t xml:space="preserve"> </w:t>
      </w:r>
    </w:p>
    <w:p w14:paraId="26BC11B7" w14:textId="77777777" w:rsidR="007C3A8C" w:rsidRDefault="007C3A8C" w:rsidP="007C3A8C">
      <w:pPr>
        <w:pStyle w:val="Nagwek"/>
        <w:ind w:right="4959"/>
        <w:jc w:val="center"/>
        <w:rPr>
          <w:b/>
        </w:rPr>
      </w:pPr>
    </w:p>
    <w:p w14:paraId="18006948" w14:textId="77777777" w:rsidR="007C3A8C" w:rsidRDefault="007C3A8C" w:rsidP="007C3A8C">
      <w:pPr>
        <w:pStyle w:val="Nagwek"/>
        <w:ind w:left="-851" w:right="5526"/>
        <w:jc w:val="center"/>
        <w:rPr>
          <w:b/>
        </w:rPr>
      </w:pPr>
    </w:p>
    <w:p w14:paraId="62D3B3CA" w14:textId="77777777"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>KRAJOWA SZKOŁA</w:t>
      </w:r>
    </w:p>
    <w:p w14:paraId="6EA534E8" w14:textId="77777777"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 xml:space="preserve"> SĄDOWNICTWA I PROKURATURY</w:t>
      </w:r>
    </w:p>
    <w:p w14:paraId="52EB9108" w14:textId="77777777" w:rsidR="007C3A8C" w:rsidRDefault="007C3A8C" w:rsidP="007C3A8C">
      <w:pPr>
        <w:pStyle w:val="Nagwek"/>
        <w:ind w:right="4392" w:hanging="283"/>
        <w:rPr>
          <w:b/>
        </w:rPr>
      </w:pPr>
    </w:p>
    <w:p w14:paraId="3227B759" w14:textId="4E26AB38" w:rsidR="007C3A8C" w:rsidRDefault="007C3A8C" w:rsidP="007C3A8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Kraków, dnia </w:t>
      </w:r>
      <w:r w:rsidR="002054A5">
        <w:rPr>
          <w:rFonts w:ascii="Times New Roman" w:hAnsi="Times New Roman"/>
          <w:sz w:val="24"/>
          <w:szCs w:val="24"/>
        </w:rPr>
        <w:t xml:space="preserve">10 </w:t>
      </w:r>
      <w:r w:rsidR="006B1A06">
        <w:rPr>
          <w:rFonts w:ascii="Times New Roman" w:hAnsi="Times New Roman"/>
          <w:sz w:val="24"/>
          <w:szCs w:val="24"/>
        </w:rPr>
        <w:t>czerwca</w:t>
      </w:r>
      <w:r>
        <w:rPr>
          <w:rFonts w:ascii="Times New Roman" w:hAnsi="Times New Roman"/>
          <w:sz w:val="24"/>
          <w:szCs w:val="24"/>
        </w:rPr>
        <w:t xml:space="preserve"> 2020 roku.</w:t>
      </w:r>
    </w:p>
    <w:p w14:paraId="38B1AA33" w14:textId="77777777" w:rsidR="007C3A8C" w:rsidRPr="00B6372B" w:rsidRDefault="007C3A8C" w:rsidP="007C3A8C">
      <w:pPr>
        <w:jc w:val="both"/>
        <w:rPr>
          <w:rFonts w:ascii="Times New Roman" w:hAnsi="Times New Roman"/>
          <w:b/>
          <w:sz w:val="24"/>
          <w:szCs w:val="24"/>
        </w:rPr>
      </w:pPr>
      <w:r w:rsidRPr="00B6372B">
        <w:rPr>
          <w:rFonts w:ascii="Times New Roman" w:hAnsi="Times New Roman"/>
          <w:b/>
          <w:sz w:val="24"/>
          <w:szCs w:val="24"/>
        </w:rPr>
        <w:t>OAS-II.420.</w:t>
      </w:r>
      <w:r w:rsidR="00694CE4">
        <w:rPr>
          <w:rFonts w:ascii="Times New Roman" w:hAnsi="Times New Roman"/>
          <w:b/>
          <w:sz w:val="24"/>
          <w:szCs w:val="24"/>
        </w:rPr>
        <w:t>3</w:t>
      </w:r>
      <w:r w:rsidR="00225EE4">
        <w:rPr>
          <w:rFonts w:ascii="Times New Roman" w:hAnsi="Times New Roman"/>
          <w:b/>
          <w:sz w:val="24"/>
          <w:szCs w:val="24"/>
        </w:rPr>
        <w:t>6</w:t>
      </w:r>
      <w:r w:rsidR="00694CE4">
        <w:rPr>
          <w:rFonts w:ascii="Times New Roman" w:hAnsi="Times New Roman"/>
          <w:b/>
          <w:sz w:val="24"/>
          <w:szCs w:val="24"/>
        </w:rPr>
        <w:t>.2019</w:t>
      </w:r>
      <w:r w:rsidRPr="00B6372B">
        <w:rPr>
          <w:rFonts w:ascii="Times New Roman" w:hAnsi="Times New Roman"/>
          <w:b/>
          <w:sz w:val="24"/>
          <w:szCs w:val="24"/>
        </w:rPr>
        <w:t xml:space="preserve"> </w:t>
      </w:r>
    </w:p>
    <w:p w14:paraId="12DB2A57" w14:textId="77777777" w:rsidR="007C3A8C" w:rsidRDefault="007C3A8C" w:rsidP="007C3A8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Dot. praktyk aplikantów dziewiątego rocznika aplikacji sędziowskiej po XXI</w:t>
      </w:r>
      <w:r w:rsidR="00225EE4">
        <w:rPr>
          <w:rFonts w:ascii="Times New Roman" w:hAnsi="Times New Roman"/>
          <w:i/>
          <w:sz w:val="24"/>
          <w:szCs w:val="24"/>
        </w:rPr>
        <w:t>V</w:t>
      </w:r>
      <w:r>
        <w:rPr>
          <w:rFonts w:ascii="Times New Roman" w:hAnsi="Times New Roman"/>
          <w:i/>
          <w:sz w:val="24"/>
          <w:szCs w:val="24"/>
        </w:rPr>
        <w:t xml:space="preserve"> zjeździe</w:t>
      </w:r>
    </w:p>
    <w:p w14:paraId="7CF40DD7" w14:textId="77777777" w:rsidR="007C3A8C" w:rsidRDefault="007C3A8C" w:rsidP="007C3A8C">
      <w:pPr>
        <w:rPr>
          <w:rFonts w:ascii="Times New Roman" w:hAnsi="Times New Roman"/>
          <w:b/>
          <w:sz w:val="24"/>
          <w:szCs w:val="24"/>
        </w:rPr>
      </w:pPr>
    </w:p>
    <w:p w14:paraId="39C3E0D3" w14:textId="77777777" w:rsidR="007C3A8C" w:rsidRDefault="007C3A8C" w:rsidP="007C3A8C">
      <w:pPr>
        <w:spacing w:after="12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</w:t>
      </w:r>
    </w:p>
    <w:p w14:paraId="2A94D1E6" w14:textId="77777777" w:rsidR="007C3A8C" w:rsidRPr="00A43F4F" w:rsidRDefault="007C3A8C" w:rsidP="007C3A8C">
      <w:pPr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A43F4F">
        <w:rPr>
          <w:rFonts w:ascii="Times New Roman" w:hAnsi="Times New Roman"/>
          <w:b/>
          <w:sz w:val="24"/>
          <w:szCs w:val="24"/>
        </w:rPr>
        <w:t>atronów praktyk</w:t>
      </w:r>
    </w:p>
    <w:p w14:paraId="2A4536D4" w14:textId="77777777" w:rsidR="007C3A8C" w:rsidRPr="00A43F4F" w:rsidRDefault="007C3A8C" w:rsidP="007C3A8C">
      <w:pPr>
        <w:ind w:left="4956"/>
        <w:rPr>
          <w:rFonts w:ascii="Times New Roman" w:hAnsi="Times New Roman"/>
          <w:b/>
          <w:sz w:val="24"/>
          <w:szCs w:val="24"/>
        </w:rPr>
      </w:pPr>
      <w:r w:rsidRPr="00A43F4F">
        <w:rPr>
          <w:rFonts w:ascii="Times New Roman" w:hAnsi="Times New Roman"/>
          <w:b/>
          <w:sz w:val="24"/>
          <w:szCs w:val="24"/>
        </w:rPr>
        <w:t xml:space="preserve">oraz </w:t>
      </w:r>
      <w:r>
        <w:rPr>
          <w:rFonts w:ascii="Times New Roman" w:hAnsi="Times New Roman"/>
          <w:b/>
          <w:sz w:val="24"/>
          <w:szCs w:val="24"/>
        </w:rPr>
        <w:t>p</w:t>
      </w:r>
      <w:r w:rsidRPr="00A43F4F">
        <w:rPr>
          <w:rFonts w:ascii="Times New Roman" w:hAnsi="Times New Roman"/>
          <w:b/>
          <w:sz w:val="24"/>
          <w:szCs w:val="24"/>
        </w:rPr>
        <w:t xml:space="preserve">atronów </w:t>
      </w:r>
      <w:r>
        <w:rPr>
          <w:rFonts w:ascii="Times New Roman" w:hAnsi="Times New Roman"/>
          <w:b/>
          <w:sz w:val="24"/>
          <w:szCs w:val="24"/>
        </w:rPr>
        <w:t>k</w:t>
      </w:r>
      <w:r w:rsidRPr="00A43F4F">
        <w:rPr>
          <w:rFonts w:ascii="Times New Roman" w:hAnsi="Times New Roman"/>
          <w:b/>
          <w:sz w:val="24"/>
          <w:szCs w:val="24"/>
        </w:rPr>
        <w:t>oordynatorów</w:t>
      </w:r>
    </w:p>
    <w:p w14:paraId="3C55276D" w14:textId="77777777" w:rsidR="007C3A8C" w:rsidRDefault="007C3A8C" w:rsidP="007C3A8C">
      <w:pPr>
        <w:spacing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A43F4F">
        <w:rPr>
          <w:rFonts w:ascii="Times New Roman" w:hAnsi="Times New Roman"/>
          <w:b/>
          <w:sz w:val="24"/>
          <w:szCs w:val="24"/>
        </w:rPr>
        <w:t xml:space="preserve">aplikantów aplikacji </w:t>
      </w:r>
      <w:r>
        <w:rPr>
          <w:rFonts w:ascii="Times New Roman" w:hAnsi="Times New Roman"/>
          <w:b/>
          <w:sz w:val="24"/>
          <w:szCs w:val="24"/>
        </w:rPr>
        <w:t>sędziowskiej</w:t>
      </w:r>
    </w:p>
    <w:p w14:paraId="29D65438" w14:textId="77777777"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</w:p>
    <w:p w14:paraId="1E69B719" w14:textId="17408BF8"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D8445D">
        <w:rPr>
          <w:rFonts w:ascii="Times New Roman" w:hAnsi="Times New Roman"/>
        </w:rPr>
        <w:t xml:space="preserve">W oparciu o § 2 zarządzenia Dyrektora Krajowej Szkoły Sądownictwa i Prokuratury w Krakowie Nr 132/2019 z dnia 15 marca 2019 roku w sprawie szczegółowych zasad odbywania praktyk przez aplikantów aplikacji sędziowskiej i prokuratorskiej uprzejmie przedstawiam szczegółowy zakres tematyczny, który winien być przedmiotem praktyk aplikantów </w:t>
      </w:r>
      <w:r>
        <w:rPr>
          <w:rFonts w:ascii="Times New Roman" w:hAnsi="Times New Roman"/>
        </w:rPr>
        <w:t>dziewiątego</w:t>
      </w:r>
      <w:r w:rsidRPr="00D8445D">
        <w:rPr>
          <w:rFonts w:ascii="Times New Roman" w:hAnsi="Times New Roman"/>
        </w:rPr>
        <w:t xml:space="preserve"> rocznika aplikacji sędziowskiej odbywanych w terminie od </w:t>
      </w:r>
      <w:r w:rsidR="006B1A06">
        <w:rPr>
          <w:rFonts w:ascii="Times New Roman" w:hAnsi="Times New Roman"/>
        </w:rPr>
        <w:t>13</w:t>
      </w:r>
      <w:r w:rsidR="00225EE4">
        <w:rPr>
          <w:rFonts w:ascii="Times New Roman" w:hAnsi="Times New Roman"/>
        </w:rPr>
        <w:t xml:space="preserve"> </w:t>
      </w:r>
      <w:r w:rsidR="006B1A06">
        <w:rPr>
          <w:rFonts w:ascii="Times New Roman" w:hAnsi="Times New Roman"/>
        </w:rPr>
        <w:t>lipca</w:t>
      </w:r>
      <w:r>
        <w:rPr>
          <w:rFonts w:ascii="Times New Roman" w:hAnsi="Times New Roman"/>
        </w:rPr>
        <w:t xml:space="preserve"> </w:t>
      </w:r>
      <w:r w:rsidR="004C2C39">
        <w:rPr>
          <w:rFonts w:ascii="Times New Roman" w:hAnsi="Times New Roman"/>
        </w:rPr>
        <w:t xml:space="preserve">do </w:t>
      </w:r>
      <w:r w:rsidR="006B1A06">
        <w:rPr>
          <w:rFonts w:ascii="Times New Roman" w:hAnsi="Times New Roman"/>
        </w:rPr>
        <w:t>31 lipca</w:t>
      </w:r>
      <w:r w:rsidR="00225EE4">
        <w:rPr>
          <w:rFonts w:ascii="Times New Roman" w:hAnsi="Times New Roman"/>
        </w:rPr>
        <w:t xml:space="preserve"> </w:t>
      </w:r>
      <w:r w:rsidR="004C2C39">
        <w:rPr>
          <w:rFonts w:ascii="Times New Roman" w:hAnsi="Times New Roman"/>
        </w:rPr>
        <w:t>2020 r.</w:t>
      </w:r>
      <w:r w:rsidRPr="00D8445D">
        <w:rPr>
          <w:rFonts w:ascii="Times New Roman" w:hAnsi="Times New Roman"/>
        </w:rPr>
        <w:t>, po X</w:t>
      </w:r>
      <w:r>
        <w:rPr>
          <w:rFonts w:ascii="Times New Roman" w:hAnsi="Times New Roman"/>
        </w:rPr>
        <w:t>XI</w:t>
      </w:r>
      <w:r w:rsidR="00225EE4">
        <w:rPr>
          <w:rFonts w:ascii="Times New Roman" w:hAnsi="Times New Roman"/>
        </w:rPr>
        <w:t>V</w:t>
      </w:r>
      <w:r w:rsidRPr="00D8445D">
        <w:rPr>
          <w:rFonts w:ascii="Times New Roman" w:hAnsi="Times New Roman"/>
        </w:rPr>
        <w:t> zjeździe aplikacji sędziowskiej, który odb</w:t>
      </w:r>
      <w:r w:rsidR="006B1A06">
        <w:rPr>
          <w:rFonts w:ascii="Times New Roman" w:hAnsi="Times New Roman"/>
        </w:rPr>
        <w:t>ył</w:t>
      </w:r>
      <w:r w:rsidRPr="00D8445D">
        <w:rPr>
          <w:rFonts w:ascii="Times New Roman" w:hAnsi="Times New Roman"/>
        </w:rPr>
        <w:t xml:space="preserve"> się w dniach od </w:t>
      </w:r>
      <w:r w:rsidR="006B1A06">
        <w:rPr>
          <w:rFonts w:ascii="Times New Roman" w:hAnsi="Times New Roman"/>
        </w:rPr>
        <w:t>30 marca</w:t>
      </w:r>
      <w:r w:rsidRPr="00D8445D">
        <w:rPr>
          <w:rFonts w:ascii="Times New Roman" w:hAnsi="Times New Roman"/>
        </w:rPr>
        <w:t xml:space="preserve"> do </w:t>
      </w:r>
      <w:r w:rsidR="006B1A06">
        <w:rPr>
          <w:rFonts w:ascii="Times New Roman" w:hAnsi="Times New Roman"/>
        </w:rPr>
        <w:t>3</w:t>
      </w:r>
      <w:r w:rsidRPr="00D8445D">
        <w:rPr>
          <w:rFonts w:ascii="Times New Roman" w:hAnsi="Times New Roman"/>
        </w:rPr>
        <w:t xml:space="preserve"> </w:t>
      </w:r>
      <w:r w:rsidR="00225EE4">
        <w:rPr>
          <w:rFonts w:ascii="Times New Roman" w:hAnsi="Times New Roman"/>
        </w:rPr>
        <w:t>kwietnia</w:t>
      </w:r>
      <w:r>
        <w:rPr>
          <w:rFonts w:ascii="Times New Roman" w:hAnsi="Times New Roman"/>
        </w:rPr>
        <w:t xml:space="preserve"> 2020</w:t>
      </w:r>
      <w:r w:rsidRPr="00D8445D">
        <w:rPr>
          <w:rFonts w:ascii="Times New Roman" w:hAnsi="Times New Roman"/>
        </w:rPr>
        <w:t xml:space="preserve"> r. </w:t>
      </w:r>
    </w:p>
    <w:p w14:paraId="58A1E9E3" w14:textId="77777777" w:rsidR="007C3A8C" w:rsidRPr="00D84572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Założeniem praktyki, co do zasady, jest zaznajomienie</w:t>
      </w:r>
      <w:r w:rsidRPr="009D1951">
        <w:rPr>
          <w:rFonts w:ascii="Times New Roman" w:hAnsi="Times New Roman"/>
        </w:rPr>
        <w:t xml:space="preserve"> aplikant</w:t>
      </w:r>
      <w:r>
        <w:rPr>
          <w:rFonts w:ascii="Times New Roman" w:hAnsi="Times New Roman"/>
        </w:rPr>
        <w:t>ów</w:t>
      </w:r>
      <w:r w:rsidRPr="009D1951">
        <w:rPr>
          <w:rFonts w:ascii="Times New Roman" w:hAnsi="Times New Roman"/>
        </w:rPr>
        <w:t xml:space="preserve"> z czynnościami i metodyką pracy </w:t>
      </w:r>
      <w:r>
        <w:rPr>
          <w:rFonts w:ascii="Times New Roman" w:hAnsi="Times New Roman"/>
        </w:rPr>
        <w:t>sędziego</w:t>
      </w:r>
      <w:r w:rsidRPr="009D1951">
        <w:rPr>
          <w:rFonts w:ascii="Times New Roman" w:hAnsi="Times New Roman"/>
        </w:rPr>
        <w:t xml:space="preserve"> oraz doskonalenie umiejętności wykorzystania wiedzy teoretycznej i znajomości orzecznictwa</w:t>
      </w:r>
      <w:r>
        <w:rPr>
          <w:rFonts w:ascii="Times New Roman" w:hAnsi="Times New Roman"/>
        </w:rPr>
        <w:t xml:space="preserve"> </w:t>
      </w:r>
      <w:r w:rsidRPr="009D1951">
        <w:rPr>
          <w:rFonts w:ascii="Times New Roman" w:hAnsi="Times New Roman"/>
        </w:rPr>
        <w:t xml:space="preserve">przy sporządzaniu projektów orzeczeń, zarządzeń i pism procesowych, a także </w:t>
      </w:r>
      <w:r>
        <w:rPr>
          <w:rFonts w:ascii="Times New Roman" w:hAnsi="Times New Roman"/>
        </w:rPr>
        <w:t>po</w:t>
      </w:r>
      <w:r w:rsidRPr="009D1951">
        <w:rPr>
          <w:rFonts w:ascii="Times New Roman" w:hAnsi="Times New Roman"/>
        </w:rPr>
        <w:t>przez uczestniczenie w czynnościach podejmowanych przez patrona praktyki.</w:t>
      </w:r>
      <w:r>
        <w:rPr>
          <w:rFonts w:ascii="Times New Roman" w:hAnsi="Times New Roman"/>
        </w:rPr>
        <w:t xml:space="preserve"> </w:t>
      </w:r>
      <w:r w:rsidRPr="003A0070">
        <w:rPr>
          <w:rFonts w:ascii="Times New Roman" w:hAnsi="Times New Roman"/>
        </w:rPr>
        <w:t xml:space="preserve">Praktyka winna utrwalać wiedzę zdobytą </w:t>
      </w:r>
      <w:r>
        <w:rPr>
          <w:rFonts w:ascii="Times New Roman" w:hAnsi="Times New Roman"/>
        </w:rPr>
        <w:t xml:space="preserve">przez aplikanta </w:t>
      </w:r>
      <w:r w:rsidRPr="003A0070">
        <w:rPr>
          <w:rFonts w:ascii="Times New Roman" w:hAnsi="Times New Roman"/>
        </w:rPr>
        <w:t xml:space="preserve">podczas bezpośrednio poprzedzających ją zajęć seminaryjnych w </w:t>
      </w:r>
      <w:r w:rsidRPr="00D84572">
        <w:rPr>
          <w:rFonts w:ascii="Times New Roman" w:hAnsi="Times New Roman"/>
        </w:rPr>
        <w:t xml:space="preserve">ramach zjazdu. </w:t>
      </w:r>
    </w:p>
    <w:p w14:paraId="56967EF5" w14:textId="034E1CB4" w:rsidR="00A76E09" w:rsidRPr="00A76E09" w:rsidRDefault="007C3A8C" w:rsidP="00A76E09">
      <w:pPr>
        <w:spacing w:line="360" w:lineRule="auto"/>
        <w:ind w:firstLine="708"/>
        <w:jc w:val="both"/>
        <w:rPr>
          <w:rFonts w:ascii="Times New Roman" w:hAnsi="Times New Roman"/>
        </w:rPr>
      </w:pPr>
      <w:r w:rsidRPr="00D84572">
        <w:rPr>
          <w:rFonts w:ascii="Times New Roman" w:hAnsi="Times New Roman"/>
        </w:rPr>
        <w:t>Zgodnie z programem aplikacji sędziowskiej realizowanym przez aplikantów dziewiątego rocznika tej aplikacji, przedmiotem XXI</w:t>
      </w:r>
      <w:r w:rsidR="00225EE4">
        <w:rPr>
          <w:rFonts w:ascii="Times New Roman" w:hAnsi="Times New Roman"/>
        </w:rPr>
        <w:t>V</w:t>
      </w:r>
      <w:r w:rsidRPr="00D84572">
        <w:rPr>
          <w:rFonts w:ascii="Times New Roman" w:hAnsi="Times New Roman"/>
        </w:rPr>
        <w:t xml:space="preserve"> zjazdu </w:t>
      </w:r>
      <w:r w:rsidR="00D84572" w:rsidRPr="00D84572">
        <w:rPr>
          <w:rFonts w:ascii="Times New Roman" w:hAnsi="Times New Roman"/>
        </w:rPr>
        <w:t xml:space="preserve">jest prawo </w:t>
      </w:r>
      <w:r w:rsidR="00225EE4">
        <w:rPr>
          <w:rFonts w:ascii="Times New Roman" w:hAnsi="Times New Roman"/>
        </w:rPr>
        <w:t xml:space="preserve">rzeczowe oraz </w:t>
      </w:r>
      <w:r w:rsidR="00D84572" w:rsidRPr="00D84572">
        <w:rPr>
          <w:rFonts w:ascii="Times New Roman" w:hAnsi="Times New Roman"/>
        </w:rPr>
        <w:t>postępowanie</w:t>
      </w:r>
      <w:r w:rsidR="00225EE4">
        <w:rPr>
          <w:rFonts w:ascii="Times New Roman" w:hAnsi="Times New Roman"/>
        </w:rPr>
        <w:t xml:space="preserve"> cywilne -</w:t>
      </w:r>
      <w:r w:rsidR="00D84572" w:rsidRPr="00D84572">
        <w:rPr>
          <w:rFonts w:ascii="Times New Roman" w:hAnsi="Times New Roman"/>
        </w:rPr>
        <w:t xml:space="preserve"> nieprocesowe</w:t>
      </w:r>
      <w:r w:rsidRPr="00D84572">
        <w:rPr>
          <w:rFonts w:ascii="Times New Roman" w:hAnsi="Times New Roman"/>
        </w:rPr>
        <w:t xml:space="preserve">. Po zakończeniu zjazdu aplikanci mają odbyć trwającą </w:t>
      </w:r>
      <w:r w:rsidR="00D84572" w:rsidRPr="00D84572">
        <w:rPr>
          <w:rFonts w:ascii="Times New Roman" w:hAnsi="Times New Roman"/>
        </w:rPr>
        <w:t xml:space="preserve">3 tygodnie </w:t>
      </w:r>
      <w:r w:rsidR="006B1A06">
        <w:rPr>
          <w:rFonts w:ascii="Times New Roman" w:hAnsi="Times New Roman"/>
        </w:rPr>
        <w:t xml:space="preserve">praktykę </w:t>
      </w:r>
      <w:r w:rsidR="00D84572" w:rsidRPr="00D84572">
        <w:rPr>
          <w:rFonts w:ascii="Times New Roman" w:hAnsi="Times New Roman"/>
        </w:rPr>
        <w:t xml:space="preserve">w sądzie rejonowym </w:t>
      </w:r>
      <w:r w:rsidR="00B27341">
        <w:rPr>
          <w:rFonts w:ascii="Times New Roman" w:hAnsi="Times New Roman"/>
        </w:rPr>
        <w:t>w</w:t>
      </w:r>
      <w:r w:rsidR="00D84572" w:rsidRPr="00D84572">
        <w:rPr>
          <w:rFonts w:ascii="Times New Roman" w:hAnsi="Times New Roman"/>
        </w:rPr>
        <w:t xml:space="preserve"> wydzia</w:t>
      </w:r>
      <w:r w:rsidR="00B27341">
        <w:rPr>
          <w:rFonts w:ascii="Times New Roman" w:hAnsi="Times New Roman"/>
        </w:rPr>
        <w:t>le</w:t>
      </w:r>
      <w:r w:rsidR="00D84572" w:rsidRPr="00D84572">
        <w:rPr>
          <w:rFonts w:ascii="Times New Roman" w:hAnsi="Times New Roman"/>
        </w:rPr>
        <w:t xml:space="preserve"> </w:t>
      </w:r>
      <w:r w:rsidR="00225EE4">
        <w:rPr>
          <w:rFonts w:ascii="Times New Roman" w:hAnsi="Times New Roman"/>
        </w:rPr>
        <w:t xml:space="preserve">cywilnym nieprocesowym, a jeżeli w danym sądzie nie ma wyodrębnionego wydziału nieprocesowego, praktyka odbywa się w sądzie rejonowym – w </w:t>
      </w:r>
      <w:r w:rsidR="00A76E09">
        <w:rPr>
          <w:rFonts w:ascii="Times New Roman" w:hAnsi="Times New Roman"/>
        </w:rPr>
        <w:t>wydziale cywilnym,</w:t>
      </w:r>
      <w:r w:rsidR="00225EE4">
        <w:rPr>
          <w:rFonts w:ascii="Times New Roman" w:hAnsi="Times New Roman"/>
        </w:rPr>
        <w:t xml:space="preserve"> </w:t>
      </w:r>
      <w:r w:rsidR="00A76E09" w:rsidRPr="00A76E09">
        <w:rPr>
          <w:rFonts w:ascii="Times New Roman" w:hAnsi="Times New Roman"/>
        </w:rPr>
        <w:t xml:space="preserve">ze </w:t>
      </w:r>
      <w:r w:rsidR="00A76E09" w:rsidRPr="00A76E09">
        <w:rPr>
          <w:rFonts w:ascii="Times New Roman" w:hAnsi="Times New Roman"/>
        </w:rPr>
        <w:lastRenderedPageBreak/>
        <w:t>zwróceniem uwagi sędziemu patronowi, że przedmiotem praktyki powinny być przede wszystkim sprawy nieprocesowe.</w:t>
      </w:r>
    </w:p>
    <w:p w14:paraId="66916082" w14:textId="77777777" w:rsidR="007C3A8C" w:rsidRPr="00B81B62" w:rsidRDefault="00085E89" w:rsidP="00A76E09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zakresie spraw </w:t>
      </w:r>
      <w:r w:rsidR="00225EE4">
        <w:rPr>
          <w:rFonts w:ascii="Times New Roman" w:hAnsi="Times New Roman"/>
        </w:rPr>
        <w:t xml:space="preserve">będących przedmiotem zjazdu </w:t>
      </w:r>
      <w:r w:rsidR="007C3A8C">
        <w:rPr>
          <w:rFonts w:ascii="Times New Roman" w:hAnsi="Times New Roman"/>
        </w:rPr>
        <w:t xml:space="preserve">patron </w:t>
      </w:r>
      <w:r w:rsidR="007C3A8C" w:rsidRPr="003A0070">
        <w:rPr>
          <w:rFonts w:ascii="Times New Roman" w:hAnsi="Times New Roman"/>
        </w:rPr>
        <w:t xml:space="preserve">praktyki oraz patron koordynator powinni przy pracy z aplikantami </w:t>
      </w:r>
      <w:r w:rsidR="0049107A">
        <w:rPr>
          <w:rFonts w:ascii="Times New Roman" w:hAnsi="Times New Roman"/>
        </w:rPr>
        <w:t xml:space="preserve">podczas praktyki </w:t>
      </w:r>
      <w:r w:rsidR="007C3A8C" w:rsidRPr="003A0070">
        <w:rPr>
          <w:rFonts w:ascii="Times New Roman" w:hAnsi="Times New Roman"/>
        </w:rPr>
        <w:t xml:space="preserve">poświęcić szczególną uwagę </w:t>
      </w:r>
      <w:r w:rsidR="007C3A8C" w:rsidRPr="006D7F5D">
        <w:rPr>
          <w:rFonts w:ascii="Times New Roman" w:hAnsi="Times New Roman"/>
        </w:rPr>
        <w:t xml:space="preserve">następującym </w:t>
      </w:r>
      <w:r w:rsidR="007C3A8C" w:rsidRPr="00B81B62">
        <w:rPr>
          <w:rFonts w:ascii="Times New Roman" w:hAnsi="Times New Roman"/>
        </w:rPr>
        <w:t>zagadnieniom z zakresu prawa materialnego:</w:t>
      </w:r>
    </w:p>
    <w:p w14:paraId="72303D74" w14:textId="77777777" w:rsidR="00A76E09" w:rsidRDefault="00225EE4" w:rsidP="00225EE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67695C">
        <w:rPr>
          <w:rFonts w:ascii="Times New Roman" w:eastAsia="Andale Sans UI" w:hAnsi="Times New Roman"/>
          <w:kern w:val="3"/>
        </w:rPr>
        <w:t>zasiedzenie</w:t>
      </w:r>
      <w:r w:rsidR="005C6488">
        <w:rPr>
          <w:rFonts w:ascii="Times New Roman" w:eastAsia="Andale Sans UI" w:hAnsi="Times New Roman"/>
          <w:kern w:val="3"/>
        </w:rPr>
        <w:t xml:space="preserve"> własności nieruchomości</w:t>
      </w:r>
      <w:r w:rsidR="00A76E09">
        <w:rPr>
          <w:rFonts w:ascii="Times New Roman" w:eastAsia="Andale Sans UI" w:hAnsi="Times New Roman"/>
          <w:kern w:val="3"/>
        </w:rPr>
        <w:t>:</w:t>
      </w:r>
      <w:r w:rsidR="0067695C" w:rsidRPr="0067695C">
        <w:rPr>
          <w:rFonts w:ascii="Times New Roman" w:eastAsia="Andale Sans UI" w:hAnsi="Times New Roman"/>
          <w:kern w:val="3"/>
        </w:rPr>
        <w:t xml:space="preserve"> </w:t>
      </w:r>
    </w:p>
    <w:p w14:paraId="3FB2905D" w14:textId="77777777" w:rsidR="00A76E09" w:rsidRDefault="0067695C" w:rsidP="00A76E0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67695C">
        <w:rPr>
          <w:rFonts w:ascii="Times New Roman" w:eastAsia="Andale Sans UI" w:hAnsi="Times New Roman"/>
          <w:kern w:val="3"/>
        </w:rPr>
        <w:t xml:space="preserve">przesłanki zasiedzenia, </w:t>
      </w:r>
    </w:p>
    <w:p w14:paraId="40591820" w14:textId="77777777" w:rsidR="00A76E09" w:rsidRDefault="0067695C" w:rsidP="00A76E0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67695C">
        <w:rPr>
          <w:rFonts w:ascii="Times New Roman" w:eastAsia="Andale Sans UI" w:hAnsi="Times New Roman"/>
          <w:kern w:val="3"/>
        </w:rPr>
        <w:t xml:space="preserve">zasiedzenie ułamkowego udziału w nieruchomości a zasiedzenie części nieruchomości, </w:t>
      </w:r>
    </w:p>
    <w:p w14:paraId="34FF6362" w14:textId="77777777" w:rsidR="00A76E09" w:rsidRDefault="0067695C" w:rsidP="00A76E0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 xml:space="preserve">nabycie w drodze zasiedzenia własności nieruchomości przez małżonków, </w:t>
      </w:r>
    </w:p>
    <w:p w14:paraId="449485B0" w14:textId="77777777" w:rsidR="005C6488" w:rsidRDefault="0067695C" w:rsidP="005C648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67695C">
        <w:rPr>
          <w:rFonts w:ascii="Times New Roman" w:eastAsia="Andale Sans UI" w:hAnsi="Times New Roman"/>
          <w:kern w:val="3"/>
        </w:rPr>
        <w:t>zasiedzenie nieruchomości</w:t>
      </w:r>
      <w:r w:rsidR="005C6488">
        <w:rPr>
          <w:rFonts w:ascii="Times New Roman" w:eastAsia="Andale Sans UI" w:hAnsi="Times New Roman"/>
          <w:kern w:val="3"/>
        </w:rPr>
        <w:t xml:space="preserve">, która w okresie biegu zasiedzenia </w:t>
      </w:r>
      <w:r w:rsidRPr="0067695C">
        <w:rPr>
          <w:rFonts w:ascii="Times New Roman" w:eastAsia="Andale Sans UI" w:hAnsi="Times New Roman"/>
          <w:kern w:val="3"/>
        </w:rPr>
        <w:t>stanowi</w:t>
      </w:r>
      <w:r w:rsidR="005C6488">
        <w:rPr>
          <w:rFonts w:ascii="Times New Roman" w:eastAsia="Andale Sans UI" w:hAnsi="Times New Roman"/>
          <w:kern w:val="3"/>
        </w:rPr>
        <w:t>ła</w:t>
      </w:r>
      <w:r w:rsidRPr="0067695C">
        <w:rPr>
          <w:rFonts w:ascii="Times New Roman" w:eastAsia="Andale Sans UI" w:hAnsi="Times New Roman"/>
          <w:kern w:val="3"/>
        </w:rPr>
        <w:t xml:space="preserve"> własność Skarbu Państwa</w:t>
      </w:r>
      <w:r w:rsidR="005C6488">
        <w:rPr>
          <w:rFonts w:ascii="Times New Roman" w:eastAsia="Andale Sans UI" w:hAnsi="Times New Roman"/>
          <w:kern w:val="3"/>
        </w:rPr>
        <w:t xml:space="preserve"> oraz materialnoprawne skutki komunalizacji takiej nieruchomości w okresie biegu zasiedzenia</w:t>
      </w:r>
      <w:r w:rsidRPr="0067695C">
        <w:rPr>
          <w:rFonts w:ascii="Times New Roman" w:eastAsia="Andale Sans UI" w:hAnsi="Times New Roman"/>
          <w:kern w:val="3"/>
        </w:rPr>
        <w:t xml:space="preserve">, </w:t>
      </w:r>
    </w:p>
    <w:p w14:paraId="10D977AC" w14:textId="77777777" w:rsidR="005C6488" w:rsidRDefault="005C6488" w:rsidP="005C648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5C6488">
        <w:rPr>
          <w:rFonts w:ascii="Times New Roman" w:eastAsia="Andale Sans UI" w:hAnsi="Times New Roman"/>
          <w:kern w:val="3"/>
        </w:rPr>
        <w:t xml:space="preserve">stosowanie </w:t>
      </w:r>
      <w:r>
        <w:rPr>
          <w:rFonts w:ascii="Times New Roman" w:eastAsia="Andale Sans UI" w:hAnsi="Times New Roman"/>
          <w:kern w:val="3"/>
        </w:rPr>
        <w:t xml:space="preserve">w sprawach o zasiedzenie przepisów obowiązujących w różnych </w:t>
      </w:r>
      <w:r w:rsidRPr="005C6488">
        <w:rPr>
          <w:rFonts w:ascii="Times New Roman" w:eastAsia="Andale Sans UI" w:hAnsi="Times New Roman"/>
          <w:kern w:val="3"/>
        </w:rPr>
        <w:t xml:space="preserve">częściach kraju </w:t>
      </w:r>
      <w:r>
        <w:rPr>
          <w:rFonts w:ascii="Times New Roman" w:eastAsia="Andale Sans UI" w:hAnsi="Times New Roman"/>
          <w:kern w:val="3"/>
        </w:rPr>
        <w:t xml:space="preserve">przed unifikacją prawa rzeczowego </w:t>
      </w:r>
      <w:r w:rsidRPr="005C6488">
        <w:rPr>
          <w:rFonts w:ascii="Times New Roman" w:eastAsia="Andale Sans UI" w:hAnsi="Times New Roman"/>
          <w:kern w:val="3"/>
        </w:rPr>
        <w:t>(BGB, ABGB, Kodeks Napo</w:t>
      </w:r>
      <w:r w:rsidR="00FA63EE">
        <w:rPr>
          <w:rFonts w:ascii="Times New Roman" w:eastAsia="Andale Sans UI" w:hAnsi="Times New Roman"/>
          <w:kern w:val="3"/>
        </w:rPr>
        <w:t>leona), przepisów dekretu z dnia 11 października 1946 r. -</w:t>
      </w:r>
      <w:r w:rsidRPr="005C6488">
        <w:rPr>
          <w:rFonts w:ascii="Times New Roman" w:eastAsia="Andale Sans UI" w:hAnsi="Times New Roman"/>
          <w:kern w:val="3"/>
        </w:rPr>
        <w:t xml:space="preserve"> Prawo rzeczowe</w:t>
      </w:r>
      <w:r w:rsidR="00FA63EE">
        <w:rPr>
          <w:rFonts w:ascii="Times New Roman" w:eastAsia="Andale Sans UI" w:hAnsi="Times New Roman"/>
          <w:kern w:val="3"/>
        </w:rPr>
        <w:t xml:space="preserve"> oraz przepisów intertemporalnych; </w:t>
      </w:r>
    </w:p>
    <w:p w14:paraId="01D0C6F2" w14:textId="77777777" w:rsidR="005C6488" w:rsidRPr="005C6488" w:rsidRDefault="0067695C" w:rsidP="005C64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5C6488">
        <w:rPr>
          <w:rFonts w:ascii="Times New Roman" w:eastAsia="Andale Sans UI" w:hAnsi="Times New Roman"/>
          <w:kern w:val="3"/>
        </w:rPr>
        <w:t>zasiedzenie prawa użytkowania wieczystego nieruchomości;</w:t>
      </w:r>
    </w:p>
    <w:p w14:paraId="416CF400" w14:textId="77777777" w:rsidR="005C6488" w:rsidRDefault="00225EE4" w:rsidP="005C64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5C6488">
        <w:rPr>
          <w:rFonts w:ascii="Times New Roman" w:eastAsia="Andale Sans UI" w:hAnsi="Times New Roman"/>
          <w:kern w:val="3"/>
        </w:rPr>
        <w:t>uwłaszczenie</w:t>
      </w:r>
      <w:r w:rsidR="005C6488" w:rsidRPr="005C6488">
        <w:rPr>
          <w:rFonts w:ascii="Times New Roman" w:hAnsi="Times New Roman"/>
          <w:sz w:val="24"/>
          <w:szCs w:val="24"/>
        </w:rPr>
        <w:t xml:space="preserve"> </w:t>
      </w:r>
      <w:r w:rsidR="005C6488" w:rsidRPr="005C6488">
        <w:rPr>
          <w:rFonts w:ascii="Times New Roman" w:eastAsia="Andale Sans UI" w:hAnsi="Times New Roman"/>
          <w:kern w:val="3"/>
        </w:rPr>
        <w:t>na podstawie ustawy z dnia 27 października 1971 r. o uregulowaniu własności gospodarstw rolnych;</w:t>
      </w:r>
    </w:p>
    <w:p w14:paraId="0BD985CA" w14:textId="77777777" w:rsidR="005C6488" w:rsidRDefault="005C6488" w:rsidP="005C64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rozgraniczenie nieruchomości;</w:t>
      </w:r>
    </w:p>
    <w:p w14:paraId="32EE3C13" w14:textId="77777777" w:rsidR="00FA63EE" w:rsidRDefault="00FA63EE" w:rsidP="005C64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współwłasność:</w:t>
      </w:r>
      <w:r w:rsidR="0008304C" w:rsidRPr="005C6488">
        <w:rPr>
          <w:rFonts w:ascii="Times New Roman" w:eastAsia="Andale Sans UI" w:hAnsi="Times New Roman"/>
          <w:kern w:val="3"/>
        </w:rPr>
        <w:t xml:space="preserve"> </w:t>
      </w:r>
    </w:p>
    <w:p w14:paraId="78836663" w14:textId="77777777" w:rsidR="00FA63EE" w:rsidRDefault="0008304C" w:rsidP="00FA63E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FA63EE">
        <w:rPr>
          <w:rFonts w:ascii="Times New Roman" w:eastAsia="Andale Sans UI" w:hAnsi="Times New Roman"/>
          <w:kern w:val="3"/>
        </w:rPr>
        <w:t xml:space="preserve">uprawnienia i obowiązki współwłaścicieli, </w:t>
      </w:r>
    </w:p>
    <w:p w14:paraId="63FBDAB9" w14:textId="77777777" w:rsidR="00FA63EE" w:rsidRDefault="00FA63EE" w:rsidP="00FA63E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 xml:space="preserve">podział </w:t>
      </w:r>
      <w:proofErr w:type="spellStart"/>
      <w:r w:rsidRPr="00534FC5">
        <w:rPr>
          <w:rFonts w:ascii="Times New Roman" w:eastAsia="Andale Sans UI" w:hAnsi="Times New Roman"/>
          <w:i/>
          <w:kern w:val="3"/>
        </w:rPr>
        <w:t>quoad</w:t>
      </w:r>
      <w:proofErr w:type="spellEnd"/>
      <w:r w:rsidRPr="00534FC5">
        <w:rPr>
          <w:rFonts w:ascii="Times New Roman" w:eastAsia="Andale Sans UI" w:hAnsi="Times New Roman"/>
          <w:i/>
          <w:kern w:val="3"/>
        </w:rPr>
        <w:t xml:space="preserve"> usum</w:t>
      </w:r>
      <w:r>
        <w:rPr>
          <w:rFonts w:ascii="Times New Roman" w:eastAsia="Andale Sans UI" w:hAnsi="Times New Roman"/>
          <w:kern w:val="3"/>
        </w:rPr>
        <w:t>,</w:t>
      </w:r>
    </w:p>
    <w:p w14:paraId="5002E7AA" w14:textId="77777777" w:rsidR="00FA63EE" w:rsidRDefault="0008304C" w:rsidP="00FA63E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FA63EE">
        <w:rPr>
          <w:rFonts w:ascii="Times New Roman" w:eastAsia="Andale Sans UI" w:hAnsi="Times New Roman"/>
          <w:kern w:val="3"/>
        </w:rPr>
        <w:t xml:space="preserve">zarząd rzeczą wspólną, </w:t>
      </w:r>
      <w:r w:rsidR="00FA63EE">
        <w:rPr>
          <w:rFonts w:ascii="Times New Roman" w:eastAsia="Andale Sans UI" w:hAnsi="Times New Roman"/>
          <w:kern w:val="3"/>
        </w:rPr>
        <w:t>rozróżnienie czynności zwykłego zarządu i czynności przekraczających zakres zwykłego zarządu,</w:t>
      </w:r>
    </w:p>
    <w:p w14:paraId="1A7E3349" w14:textId="77777777" w:rsidR="005C6488" w:rsidRPr="00FA63EE" w:rsidRDefault="0008304C" w:rsidP="00FA63E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FA63EE">
        <w:rPr>
          <w:rFonts w:ascii="Times New Roman" w:eastAsia="Andale Sans UI" w:hAnsi="Times New Roman"/>
          <w:kern w:val="3"/>
        </w:rPr>
        <w:t>wyznaczenie zarządcy przez sąd (art. 203 k.c.);</w:t>
      </w:r>
    </w:p>
    <w:p w14:paraId="2222282A" w14:textId="12BAF89B" w:rsidR="005C6488" w:rsidRDefault="00225EE4" w:rsidP="005C64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FA63EE">
        <w:rPr>
          <w:rFonts w:ascii="Times New Roman" w:eastAsia="Andale Sans UI" w:hAnsi="Times New Roman"/>
          <w:kern w:val="3"/>
        </w:rPr>
        <w:t>służebności i inne ograniczone prawa rzeczowe</w:t>
      </w:r>
      <w:r w:rsidR="0067695C" w:rsidRPr="00FA63EE">
        <w:rPr>
          <w:rFonts w:ascii="Times New Roman" w:eastAsia="Andale Sans UI" w:hAnsi="Times New Roman"/>
          <w:kern w:val="3"/>
        </w:rPr>
        <w:t xml:space="preserve">, w tym w szczególności służebność drogi koniecznej i służebność </w:t>
      </w:r>
      <w:proofErr w:type="spellStart"/>
      <w:r w:rsidR="0067695C" w:rsidRPr="00FA63EE">
        <w:rPr>
          <w:rFonts w:ascii="Times New Roman" w:eastAsia="Andale Sans UI" w:hAnsi="Times New Roman"/>
          <w:kern w:val="3"/>
        </w:rPr>
        <w:t>przesyłu</w:t>
      </w:r>
      <w:proofErr w:type="spellEnd"/>
      <w:r w:rsidR="0067695C" w:rsidRPr="00FA63EE">
        <w:rPr>
          <w:rFonts w:ascii="Times New Roman" w:eastAsia="Andale Sans UI" w:hAnsi="Times New Roman"/>
          <w:kern w:val="3"/>
        </w:rPr>
        <w:t xml:space="preserve">, </w:t>
      </w:r>
      <w:r w:rsidR="0008304C" w:rsidRPr="00FA63EE">
        <w:rPr>
          <w:rFonts w:ascii="Times New Roman" w:eastAsia="Andale Sans UI" w:hAnsi="Times New Roman"/>
          <w:kern w:val="3"/>
        </w:rPr>
        <w:t>zasiedz</w:t>
      </w:r>
      <w:r w:rsidR="00534FC5">
        <w:rPr>
          <w:rFonts w:ascii="Times New Roman" w:eastAsia="Andale Sans UI" w:hAnsi="Times New Roman"/>
          <w:kern w:val="3"/>
        </w:rPr>
        <w:t>enie służebności</w:t>
      </w:r>
      <w:r w:rsidR="00A24D29">
        <w:rPr>
          <w:rFonts w:ascii="Times New Roman" w:eastAsia="Andale Sans UI" w:hAnsi="Times New Roman"/>
          <w:kern w:val="3"/>
        </w:rPr>
        <w:t>,</w:t>
      </w:r>
    </w:p>
    <w:p w14:paraId="136B8683" w14:textId="77777777" w:rsidR="00B81B62" w:rsidRDefault="00B81B62" w:rsidP="00B81B62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Nadto patron praktyki oraz patron koordynator powinni zapewnić, aby w toku praktyki </w:t>
      </w:r>
      <w:r w:rsidRPr="00B81B62">
        <w:rPr>
          <w:rFonts w:ascii="Times New Roman" w:hAnsi="Times New Roman"/>
        </w:rPr>
        <w:t xml:space="preserve">aplikanci zapoznali się z istotą postępowania nieprocesowego, a przede wszystkim z odrębnościami tego postępowania w stosunku do procesu. Koniecznym jest zatem zaznajomienie aplikantów ze specyfiką postępowania nieprocesowego na przykładach najczęściej spotykanych spraw z zakresu prawa rzeczowego. </w:t>
      </w:r>
      <w:r w:rsidR="00AC7DA6">
        <w:rPr>
          <w:rFonts w:ascii="Times New Roman" w:hAnsi="Times New Roman"/>
        </w:rPr>
        <w:t xml:space="preserve">Wśród zagadnień z tego </w:t>
      </w:r>
      <w:r w:rsidR="00D6448C">
        <w:rPr>
          <w:rFonts w:ascii="Times New Roman" w:hAnsi="Times New Roman"/>
        </w:rPr>
        <w:t xml:space="preserve">zakresu </w:t>
      </w:r>
      <w:r w:rsidR="00AC7DA6">
        <w:rPr>
          <w:rFonts w:ascii="Times New Roman" w:hAnsi="Times New Roman"/>
        </w:rPr>
        <w:t>należy zwrócić uwagę zwłaszcza na następujące kwestie:</w:t>
      </w:r>
    </w:p>
    <w:p w14:paraId="1F140C5C" w14:textId="77777777" w:rsidR="00AC7DA6" w:rsidRDefault="00AC7DA6" w:rsidP="00AC7DA6">
      <w:pPr>
        <w:pStyle w:val="Akapitzlist"/>
        <w:widowControl w:val="0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wymogi formalne wniosku o wszczęcie postępowania nieprocesowego;</w:t>
      </w:r>
    </w:p>
    <w:p w14:paraId="5F2AE4CF" w14:textId="77777777" w:rsidR="00AC7DA6" w:rsidRDefault="00AC7DA6" w:rsidP="00AC7DA6">
      <w:pPr>
        <w:pStyle w:val="Akapitzlist"/>
        <w:widowControl w:val="0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właściwość miejscowa sądu; </w:t>
      </w:r>
    </w:p>
    <w:p w14:paraId="0B98CCAB" w14:textId="77777777" w:rsidR="00AC7DA6" w:rsidRDefault="00AC7DA6" w:rsidP="00AC7DA6">
      <w:pPr>
        <w:pStyle w:val="Akapitzlist"/>
        <w:widowControl w:val="0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uczestnicy postępowania nieprocesowego, pojęcie „zainteresowanego” (art. 510 § 1 k.p.c.);</w:t>
      </w:r>
    </w:p>
    <w:p w14:paraId="7FF06C12" w14:textId="77777777" w:rsidR="00AC7DA6" w:rsidRDefault="00AC7DA6" w:rsidP="00AC7DA6">
      <w:pPr>
        <w:pStyle w:val="Akapitzlist"/>
        <w:widowControl w:val="0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czynności sądu podejmowane z urzędu (np. wezwanie zainteresowanego do udziału w sprawie, a w razie potrzeby ustanowienie dla niego kuratora – art. 510 § 2 k.p.c.);</w:t>
      </w:r>
    </w:p>
    <w:p w14:paraId="456EF855" w14:textId="77777777" w:rsidR="00AC7DA6" w:rsidRDefault="00AC7DA6" w:rsidP="00AC7DA6">
      <w:pPr>
        <w:pStyle w:val="Akapitzlist"/>
        <w:widowControl w:val="0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możliwość wezwania zainteresowanych do udziału w sprawie przez ogłoszenie; </w:t>
      </w:r>
    </w:p>
    <w:p w14:paraId="4D39B037" w14:textId="77777777" w:rsidR="00AC7DA6" w:rsidRDefault="00AC7DA6" w:rsidP="00AC7DA6">
      <w:pPr>
        <w:pStyle w:val="Akapitzlist"/>
        <w:widowControl w:val="0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rozprawa a posiedzenie jawne niebędące rozprawą, możliwość oddalenia wniosku na posiedzeniu niejawnym (art. 514 § 2 k.p.c.);</w:t>
      </w:r>
    </w:p>
    <w:p w14:paraId="392A17EE" w14:textId="019B7FC9" w:rsidR="00AC7DA6" w:rsidRDefault="00AC7DA6" w:rsidP="00AC7DA6">
      <w:pPr>
        <w:pStyle w:val="Akapitzlist"/>
        <w:widowControl w:val="0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rodzaje orzeczeń co do istoty sprawy, postanowienie wstępne</w:t>
      </w:r>
      <w:r w:rsidR="006B1A0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postanowienie częściowe,  postanowienie uzupełniające;</w:t>
      </w:r>
    </w:p>
    <w:p w14:paraId="1EE4D928" w14:textId="77777777" w:rsidR="00AC7DA6" w:rsidRDefault="00AC7DA6" w:rsidP="00AC7DA6">
      <w:pPr>
        <w:pStyle w:val="Akapitzlist"/>
        <w:widowControl w:val="0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kos</w:t>
      </w:r>
      <w:r w:rsidR="00D6448C">
        <w:rPr>
          <w:rFonts w:ascii="Times New Roman" w:hAnsi="Times New Roman"/>
        </w:rPr>
        <w:t>zty postępowania nieprocesowego;</w:t>
      </w:r>
    </w:p>
    <w:p w14:paraId="4C6BA940" w14:textId="77777777" w:rsidR="00AC7DA6" w:rsidRPr="00694CE4" w:rsidRDefault="00AC7DA6" w:rsidP="00AC7DA6">
      <w:pPr>
        <w:pStyle w:val="Akapitzlist"/>
        <w:widowControl w:val="0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wznowienie postępowania nieprocesowego.</w:t>
      </w:r>
    </w:p>
    <w:p w14:paraId="5948CE4C" w14:textId="068575ED" w:rsidR="00B81B62" w:rsidRPr="00B81B62" w:rsidRDefault="00B81B62" w:rsidP="00B81B62">
      <w:pPr>
        <w:spacing w:line="360" w:lineRule="auto"/>
        <w:ind w:firstLine="708"/>
        <w:jc w:val="both"/>
        <w:rPr>
          <w:rFonts w:ascii="Times New Roman" w:hAnsi="Times New Roman"/>
        </w:rPr>
      </w:pPr>
      <w:r w:rsidRPr="00B81B62">
        <w:rPr>
          <w:rFonts w:ascii="Times New Roman" w:hAnsi="Times New Roman"/>
        </w:rPr>
        <w:t>Szczególną uwagę należy poświęcić zagadnieniom procesowych i technicznych aspektów postępowania dowodowego, z uwzględnieniem sposobu redagowania postanowień dowodowych dopuszczających dowód z opinii biegłych różnych specjalności w sprawach z zakresu prawa rzeczowego oraz redagowania orzeczeń w sprawach, w których integralną część orzeczenia stanowią opinie biegłych. Należy też omówić zagadnienia związane z przeprowadzeniem dowodu z oględzin nieruchomości (np. w sprawach o ustanowienie drogi koniecznej, o rozgraniczenie), ze sporządzeniem protokołu z tej czynności wraz z załącznikiem graficznym (ewentualnie ta</w:t>
      </w:r>
      <w:r w:rsidR="00F36BCE">
        <w:rPr>
          <w:rFonts w:ascii="Times New Roman" w:hAnsi="Times New Roman"/>
        </w:rPr>
        <w:t>kże dokumentacją fotograficzną).</w:t>
      </w:r>
      <w:r w:rsidRPr="00B81B62">
        <w:rPr>
          <w:rFonts w:ascii="Times New Roman" w:hAnsi="Times New Roman"/>
        </w:rPr>
        <w:t xml:space="preserve"> Celowym jest także zaznajomienie aplikantów z odczytywaniem map geodezyjnych, map sytuacyjno-wysokościowych oraz analizą odpisów z ksiąg wieczystych lub zbioru dokumentów.  Przy pracy z aplikantami należy zwrócić uwagę na wszelkie techniczne aspekty przesłuchania świadków na gruncie, przy czym pożądanym byłoby, aby w trakcie praktyki aplikanci mogli uczestniczyć w czynnościach na gruncie, jeżeli byłyby one planowane w wydziale sądu, w którym ma miejsce praktyka.</w:t>
      </w:r>
    </w:p>
    <w:p w14:paraId="30D9EE6D" w14:textId="420C53FF" w:rsidR="00F36BCE" w:rsidRDefault="00AA67CD" w:rsidP="00F36BCE">
      <w:pPr>
        <w:spacing w:line="360" w:lineRule="auto"/>
        <w:ind w:firstLine="708"/>
        <w:jc w:val="both"/>
        <w:rPr>
          <w:rFonts w:ascii="Times New Roman" w:hAnsi="Times New Roman"/>
        </w:rPr>
      </w:pPr>
      <w:r w:rsidRPr="00F34AFB">
        <w:rPr>
          <w:rFonts w:ascii="Times New Roman" w:hAnsi="Times New Roman"/>
        </w:rPr>
        <w:t>Zaleca się, aby aplikanci w trakcie praktyki</w:t>
      </w:r>
      <w:r w:rsidRPr="00042BDA">
        <w:rPr>
          <w:rFonts w:ascii="Times New Roman" w:hAnsi="Times New Roman"/>
        </w:rPr>
        <w:t xml:space="preserve"> zapoznawali się z konkretnymi sprawami </w:t>
      </w:r>
      <w:r w:rsidR="00D6448C">
        <w:rPr>
          <w:rFonts w:ascii="Times New Roman" w:hAnsi="Times New Roman"/>
        </w:rPr>
        <w:t>z zakresu prawa rzeczowego, rozpoznawany</w:t>
      </w:r>
      <w:r w:rsidR="00F36BCE">
        <w:rPr>
          <w:rFonts w:ascii="Times New Roman" w:hAnsi="Times New Roman"/>
        </w:rPr>
        <w:t>mi w postępowaniu nieprocesowym</w:t>
      </w:r>
      <w:r w:rsidR="00D6448C">
        <w:rPr>
          <w:rFonts w:ascii="Times New Roman" w:hAnsi="Times New Roman"/>
        </w:rPr>
        <w:t xml:space="preserve"> </w:t>
      </w:r>
      <w:r w:rsidR="00F36BCE">
        <w:rPr>
          <w:rFonts w:ascii="Times New Roman" w:hAnsi="Times New Roman"/>
        </w:rPr>
        <w:t>oraz aby powierzano im</w:t>
      </w:r>
      <w:r w:rsidR="00F36BCE" w:rsidRPr="00042BDA">
        <w:rPr>
          <w:rFonts w:ascii="Times New Roman" w:hAnsi="Times New Roman"/>
        </w:rPr>
        <w:t xml:space="preserve"> </w:t>
      </w:r>
      <w:r w:rsidR="00F36BCE" w:rsidRPr="007778F9">
        <w:rPr>
          <w:rFonts w:ascii="Times New Roman" w:hAnsi="Times New Roman"/>
        </w:rPr>
        <w:t>jak największ</w:t>
      </w:r>
      <w:r w:rsidR="00F36BCE">
        <w:rPr>
          <w:rFonts w:ascii="Times New Roman" w:hAnsi="Times New Roman"/>
        </w:rPr>
        <w:t>ą</w:t>
      </w:r>
      <w:r w:rsidR="00F36BCE" w:rsidRPr="007778F9">
        <w:rPr>
          <w:rFonts w:ascii="Times New Roman" w:hAnsi="Times New Roman"/>
        </w:rPr>
        <w:t xml:space="preserve"> liczb</w:t>
      </w:r>
      <w:r w:rsidR="00F36BCE">
        <w:rPr>
          <w:rFonts w:ascii="Times New Roman" w:hAnsi="Times New Roman"/>
        </w:rPr>
        <w:t>ę</w:t>
      </w:r>
      <w:r w:rsidR="00F36BCE" w:rsidRPr="007778F9">
        <w:rPr>
          <w:rFonts w:ascii="Times New Roman" w:hAnsi="Times New Roman"/>
        </w:rPr>
        <w:t xml:space="preserve"> czynności</w:t>
      </w:r>
      <w:r w:rsidR="00F36BCE">
        <w:rPr>
          <w:rFonts w:ascii="Times New Roman" w:hAnsi="Times New Roman"/>
        </w:rPr>
        <w:t>,</w:t>
      </w:r>
      <w:r w:rsidR="00F36BCE" w:rsidRPr="007778F9">
        <w:rPr>
          <w:rFonts w:ascii="Times New Roman" w:hAnsi="Times New Roman"/>
        </w:rPr>
        <w:t xml:space="preserve"> </w:t>
      </w:r>
      <w:r w:rsidR="00F36BCE">
        <w:rPr>
          <w:rFonts w:ascii="Times New Roman" w:hAnsi="Times New Roman"/>
        </w:rPr>
        <w:t>które pomogą</w:t>
      </w:r>
      <w:r w:rsidR="00F36BCE" w:rsidRPr="00042BDA">
        <w:rPr>
          <w:rFonts w:ascii="Times New Roman" w:hAnsi="Times New Roman"/>
        </w:rPr>
        <w:t xml:space="preserve"> utrwalić i</w:t>
      </w:r>
      <w:r w:rsidR="00F36BCE">
        <w:rPr>
          <w:rFonts w:ascii="Times New Roman" w:hAnsi="Times New Roman"/>
        </w:rPr>
        <w:t>m w praktyce</w:t>
      </w:r>
      <w:r w:rsidR="00F36BCE" w:rsidRPr="00042BDA">
        <w:rPr>
          <w:rFonts w:ascii="Times New Roman" w:hAnsi="Times New Roman"/>
        </w:rPr>
        <w:t xml:space="preserve"> </w:t>
      </w:r>
      <w:r w:rsidR="00F36BCE">
        <w:rPr>
          <w:rFonts w:ascii="Times New Roman" w:hAnsi="Times New Roman"/>
        </w:rPr>
        <w:t>zdobytą podczas zajęć seminaryjnych wiedzę teoretyczną</w:t>
      </w:r>
      <w:r w:rsidR="00F36BCE" w:rsidRPr="00042BDA">
        <w:rPr>
          <w:rFonts w:ascii="Times New Roman" w:hAnsi="Times New Roman"/>
        </w:rPr>
        <w:t>.</w:t>
      </w:r>
      <w:r w:rsidR="00F36BCE">
        <w:rPr>
          <w:rFonts w:ascii="Times New Roman" w:hAnsi="Times New Roman"/>
        </w:rPr>
        <w:t xml:space="preserve"> Szczególny jednak nacisk należy położyć na to, aby podczas praktyki aplikanci </w:t>
      </w:r>
      <w:r w:rsidR="00F36BCE" w:rsidRPr="007778F9">
        <w:rPr>
          <w:rFonts w:ascii="Times New Roman" w:hAnsi="Times New Roman"/>
        </w:rPr>
        <w:t xml:space="preserve">opanowali </w:t>
      </w:r>
      <w:r w:rsidR="00F36BCE">
        <w:rPr>
          <w:rFonts w:ascii="Times New Roman" w:hAnsi="Times New Roman"/>
        </w:rPr>
        <w:t>w możliwie</w:t>
      </w:r>
      <w:r w:rsidR="00F36BCE" w:rsidRPr="007778F9">
        <w:rPr>
          <w:rFonts w:ascii="Times New Roman" w:hAnsi="Times New Roman"/>
        </w:rPr>
        <w:t xml:space="preserve"> najwyższym stopniu umiejętność samodzielnego opracowywania </w:t>
      </w:r>
      <w:r w:rsidR="00A322B3" w:rsidRPr="007778F9">
        <w:rPr>
          <w:rFonts w:ascii="Times New Roman" w:hAnsi="Times New Roman"/>
        </w:rPr>
        <w:t xml:space="preserve">projektów orzeczeń </w:t>
      </w:r>
      <w:r w:rsidR="00A322B3">
        <w:rPr>
          <w:rFonts w:ascii="Times New Roman" w:hAnsi="Times New Roman"/>
        </w:rPr>
        <w:t xml:space="preserve">kończących postępowanie w tego rodzaju sprawach, </w:t>
      </w:r>
      <w:r w:rsidR="00A322B3" w:rsidRPr="007778F9">
        <w:rPr>
          <w:rFonts w:ascii="Times New Roman" w:hAnsi="Times New Roman"/>
        </w:rPr>
        <w:t>wraz z uzasadnieniem</w:t>
      </w:r>
      <w:r w:rsidR="00A322B3">
        <w:rPr>
          <w:rFonts w:ascii="Times New Roman" w:hAnsi="Times New Roman"/>
        </w:rPr>
        <w:t>.</w:t>
      </w:r>
    </w:p>
    <w:p w14:paraId="3C836EB7" w14:textId="77777777" w:rsidR="002054A5" w:rsidRDefault="007C3A8C" w:rsidP="002054A5">
      <w:pPr>
        <w:spacing w:line="360" w:lineRule="auto"/>
        <w:jc w:val="both"/>
      </w:pPr>
      <w:r w:rsidRPr="007778F9">
        <w:rPr>
          <w:rFonts w:ascii="Times New Roman" w:hAnsi="Times New Roman"/>
        </w:rPr>
        <w:t xml:space="preserve"> </w:t>
      </w:r>
    </w:p>
    <w:p w14:paraId="193B477D" w14:textId="77777777" w:rsidR="002054A5" w:rsidRPr="002054A5" w:rsidRDefault="002054A5" w:rsidP="002054A5">
      <w:pPr>
        <w:spacing w:after="100" w:afterAutospacing="1"/>
        <w:ind w:left="4248" w:firstLine="708"/>
        <w:contextualSpacing/>
        <w:rPr>
          <w:rFonts w:ascii="Times New Roman" w:hAnsi="Times New Roman"/>
        </w:rPr>
      </w:pPr>
      <w:r w:rsidRPr="002054A5">
        <w:rPr>
          <w:rFonts w:ascii="Times New Roman" w:hAnsi="Times New Roman"/>
        </w:rPr>
        <w:t>Kierownik Działu Dydaktycznego OAS</w:t>
      </w:r>
    </w:p>
    <w:p w14:paraId="12323432" w14:textId="2E8913AD" w:rsidR="002054A5" w:rsidRPr="002054A5" w:rsidRDefault="002054A5" w:rsidP="002054A5">
      <w:pPr>
        <w:spacing w:after="100" w:afterAutospacing="1"/>
        <w:ind w:left="3538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2054A5">
        <w:rPr>
          <w:rFonts w:ascii="Times New Roman" w:hAnsi="Times New Roman"/>
        </w:rPr>
        <w:t>dr Agnieszka Pilch</w:t>
      </w:r>
    </w:p>
    <w:p w14:paraId="2B0914F8" w14:textId="5BC4A3DF" w:rsidR="002054A5" w:rsidRPr="001469B6" w:rsidRDefault="002054A5" w:rsidP="002054A5">
      <w:pPr>
        <w:spacing w:after="100" w:afterAutospacing="1"/>
        <w:ind w:left="3540"/>
        <w:contextualSpacing/>
        <w:jc w:val="center"/>
      </w:pPr>
      <w:r>
        <w:rPr>
          <w:rFonts w:ascii="Times New Roman" w:hAnsi="Times New Roman"/>
        </w:rPr>
        <w:t xml:space="preserve">       </w:t>
      </w:r>
      <w:r w:rsidRPr="002054A5">
        <w:rPr>
          <w:rFonts w:ascii="Times New Roman" w:hAnsi="Times New Roman"/>
        </w:rPr>
        <w:t>sędzia</w:t>
      </w:r>
    </w:p>
    <w:p w14:paraId="17A19B4E" w14:textId="2BE6FDC4" w:rsidR="00775A12" w:rsidRDefault="00F639AD" w:rsidP="000005CF">
      <w:pPr>
        <w:spacing w:line="360" w:lineRule="auto"/>
        <w:ind w:firstLine="708"/>
        <w:jc w:val="both"/>
      </w:pPr>
    </w:p>
    <w:sectPr w:rsidR="00775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8AF83" w14:textId="77777777" w:rsidR="00F639AD" w:rsidRDefault="00F639AD" w:rsidP="00AA67CD">
      <w:pPr>
        <w:spacing w:after="0" w:line="240" w:lineRule="auto"/>
      </w:pPr>
      <w:r>
        <w:separator/>
      </w:r>
    </w:p>
  </w:endnote>
  <w:endnote w:type="continuationSeparator" w:id="0">
    <w:p w14:paraId="208187E7" w14:textId="77777777" w:rsidR="00F639AD" w:rsidRDefault="00F639AD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B62FB" w14:textId="77777777" w:rsidR="00F639AD" w:rsidRDefault="00F639AD" w:rsidP="00AA67CD">
      <w:pPr>
        <w:spacing w:after="0" w:line="240" w:lineRule="auto"/>
      </w:pPr>
      <w:r>
        <w:separator/>
      </w:r>
    </w:p>
  </w:footnote>
  <w:footnote w:type="continuationSeparator" w:id="0">
    <w:p w14:paraId="54420D63" w14:textId="77777777" w:rsidR="00F639AD" w:rsidRDefault="00F639AD" w:rsidP="00AA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E01D9"/>
    <w:multiLevelType w:val="hybridMultilevel"/>
    <w:tmpl w:val="A836B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5">
    <w:nsid w:val="260F3B21"/>
    <w:multiLevelType w:val="hybridMultilevel"/>
    <w:tmpl w:val="F8EE7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7"/>
  </w:num>
  <w:num w:numId="5">
    <w:abstractNumId w:val="19"/>
  </w:num>
  <w:num w:numId="6">
    <w:abstractNumId w:val="7"/>
  </w:num>
  <w:num w:numId="7">
    <w:abstractNumId w:val="18"/>
  </w:num>
  <w:num w:numId="8">
    <w:abstractNumId w:val="10"/>
  </w:num>
  <w:num w:numId="9">
    <w:abstractNumId w:val="6"/>
  </w:num>
  <w:num w:numId="10">
    <w:abstractNumId w:val="20"/>
  </w:num>
  <w:num w:numId="11">
    <w:abstractNumId w:val="4"/>
  </w:num>
  <w:num w:numId="12">
    <w:abstractNumId w:val="9"/>
  </w:num>
  <w:num w:numId="13">
    <w:abstractNumId w:val="12"/>
  </w:num>
  <w:num w:numId="14">
    <w:abstractNumId w:val="15"/>
  </w:num>
  <w:num w:numId="15">
    <w:abstractNumId w:val="1"/>
  </w:num>
  <w:num w:numId="16">
    <w:abstractNumId w:val="13"/>
  </w:num>
  <w:num w:numId="17">
    <w:abstractNumId w:val="8"/>
  </w:num>
  <w:num w:numId="18">
    <w:abstractNumId w:val="2"/>
  </w:num>
  <w:num w:numId="19">
    <w:abstractNumId w:val="14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005CF"/>
    <w:rsid w:val="0008304C"/>
    <w:rsid w:val="00085E89"/>
    <w:rsid w:val="000D0D9A"/>
    <w:rsid w:val="000D378A"/>
    <w:rsid w:val="00195D0B"/>
    <w:rsid w:val="001C5C56"/>
    <w:rsid w:val="001D5E58"/>
    <w:rsid w:val="001E5109"/>
    <w:rsid w:val="002054A5"/>
    <w:rsid w:val="00225EE4"/>
    <w:rsid w:val="002A77D9"/>
    <w:rsid w:val="00417D3D"/>
    <w:rsid w:val="00486FF7"/>
    <w:rsid w:val="0049107A"/>
    <w:rsid w:val="004C2C39"/>
    <w:rsid w:val="00534FC5"/>
    <w:rsid w:val="005800A4"/>
    <w:rsid w:val="005C6488"/>
    <w:rsid w:val="0067695C"/>
    <w:rsid w:val="00682245"/>
    <w:rsid w:val="00694CE4"/>
    <w:rsid w:val="006B1A06"/>
    <w:rsid w:val="006D7F5D"/>
    <w:rsid w:val="006E6B11"/>
    <w:rsid w:val="007007FA"/>
    <w:rsid w:val="007B6F11"/>
    <w:rsid w:val="007C3A8C"/>
    <w:rsid w:val="007F28CC"/>
    <w:rsid w:val="0088627E"/>
    <w:rsid w:val="008C3394"/>
    <w:rsid w:val="008F18D4"/>
    <w:rsid w:val="009135B9"/>
    <w:rsid w:val="009E0CFB"/>
    <w:rsid w:val="00A24D29"/>
    <w:rsid w:val="00A322B3"/>
    <w:rsid w:val="00A76E09"/>
    <w:rsid w:val="00AA67CD"/>
    <w:rsid w:val="00AC7DA6"/>
    <w:rsid w:val="00B03962"/>
    <w:rsid w:val="00B27341"/>
    <w:rsid w:val="00B81B62"/>
    <w:rsid w:val="00BD1CAA"/>
    <w:rsid w:val="00C66B40"/>
    <w:rsid w:val="00D6448C"/>
    <w:rsid w:val="00D84572"/>
    <w:rsid w:val="00DD3B36"/>
    <w:rsid w:val="00E7483E"/>
    <w:rsid w:val="00F36BCE"/>
    <w:rsid w:val="00F639AD"/>
    <w:rsid w:val="00F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1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1174-F9D3-4457-9AFF-E7A0F793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Semeniuk</dc:creator>
  <cp:lastModifiedBy>Monika Górecka</cp:lastModifiedBy>
  <cp:revision>2</cp:revision>
  <dcterms:created xsi:type="dcterms:W3CDTF">2020-07-06T07:26:00Z</dcterms:created>
  <dcterms:modified xsi:type="dcterms:W3CDTF">2020-07-06T07:26:00Z</dcterms:modified>
</cp:coreProperties>
</file>