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33" w:rsidRDefault="00206AB8" w:rsidP="00A42D33">
      <w:pPr>
        <w:spacing w:line="360" w:lineRule="auto"/>
      </w:pPr>
      <w:r>
        <w:t xml:space="preserve">OAP-II.420.48.2020 </w:t>
      </w:r>
      <w:r>
        <w:tab/>
      </w:r>
      <w:r>
        <w:tab/>
      </w:r>
      <w:r>
        <w:tab/>
      </w:r>
      <w:r>
        <w:tab/>
      </w:r>
      <w:r>
        <w:tab/>
      </w:r>
      <w:r w:rsidR="00A42D33">
        <w:t xml:space="preserve">Kraków, dnia </w:t>
      </w:r>
      <w:r w:rsidR="00922121">
        <w:t>18</w:t>
      </w:r>
      <w:r>
        <w:t xml:space="preserve"> lutego  2021</w:t>
      </w:r>
      <w:r w:rsidR="00A42D33">
        <w:t xml:space="preserve"> r.</w:t>
      </w:r>
    </w:p>
    <w:p w:rsidR="00A42D33" w:rsidRDefault="00A42D33" w:rsidP="00A42D33">
      <w:pPr>
        <w:spacing w:line="360" w:lineRule="auto"/>
      </w:pPr>
    </w:p>
    <w:p w:rsidR="00A42D33" w:rsidRDefault="00A42D33" w:rsidP="00A42D33">
      <w:pPr>
        <w:tabs>
          <w:tab w:val="left" w:pos="4820"/>
        </w:tabs>
        <w:rPr>
          <w:b/>
        </w:rPr>
      </w:pPr>
    </w:p>
    <w:p w:rsidR="00A42D33" w:rsidRDefault="00A42D33" w:rsidP="00A42D33">
      <w:pPr>
        <w:tabs>
          <w:tab w:val="left" w:pos="4820"/>
        </w:tabs>
        <w:rPr>
          <w:b/>
        </w:rPr>
      </w:pPr>
    </w:p>
    <w:p w:rsidR="00A42D33" w:rsidRDefault="00A42D33" w:rsidP="00A42D33">
      <w:pPr>
        <w:tabs>
          <w:tab w:val="left" w:pos="4820"/>
        </w:tabs>
        <w:rPr>
          <w:b/>
        </w:rPr>
      </w:pPr>
    </w:p>
    <w:p w:rsidR="00A42D33" w:rsidRDefault="00A42D33" w:rsidP="00A42D33">
      <w:pPr>
        <w:tabs>
          <w:tab w:val="left" w:pos="4820"/>
        </w:tabs>
        <w:rPr>
          <w:b/>
        </w:rPr>
      </w:pPr>
      <w:r>
        <w:rPr>
          <w:b/>
        </w:rPr>
        <w:tab/>
        <w:t>Do Państwa</w:t>
      </w:r>
    </w:p>
    <w:p w:rsidR="00A42D33" w:rsidRDefault="00A42D33" w:rsidP="00A42D33">
      <w:pPr>
        <w:tabs>
          <w:tab w:val="left" w:pos="4820"/>
        </w:tabs>
        <w:rPr>
          <w:b/>
        </w:rPr>
      </w:pPr>
      <w:r>
        <w:rPr>
          <w:b/>
        </w:rPr>
        <w:tab/>
        <w:t xml:space="preserve">Patronów koordynatorów </w:t>
      </w:r>
    </w:p>
    <w:p w:rsidR="00A42D33" w:rsidRDefault="00A42D33" w:rsidP="00A42D33">
      <w:pPr>
        <w:tabs>
          <w:tab w:val="left" w:pos="4820"/>
        </w:tabs>
        <w:rPr>
          <w:b/>
        </w:rPr>
      </w:pPr>
      <w:r>
        <w:rPr>
          <w:b/>
        </w:rPr>
        <w:tab/>
        <w:t xml:space="preserve">oraz Patronów praktyk </w:t>
      </w:r>
    </w:p>
    <w:p w:rsidR="00A42D33" w:rsidRDefault="00A42D33" w:rsidP="00A42D33">
      <w:pPr>
        <w:tabs>
          <w:tab w:val="left" w:pos="4820"/>
        </w:tabs>
        <w:rPr>
          <w:b/>
        </w:rPr>
      </w:pPr>
      <w:r>
        <w:rPr>
          <w:b/>
        </w:rPr>
        <w:tab/>
        <w:t>aplikantów aplikacji prokuratorskiej</w:t>
      </w:r>
    </w:p>
    <w:p w:rsidR="00A42D33" w:rsidRDefault="00A42D33" w:rsidP="00A42D33">
      <w:pPr>
        <w:ind w:left="4248"/>
        <w:rPr>
          <w:b/>
        </w:rPr>
      </w:pPr>
    </w:p>
    <w:p w:rsidR="00A42D33" w:rsidRDefault="00A42D33" w:rsidP="00A42D33">
      <w:pPr>
        <w:spacing w:line="360" w:lineRule="auto"/>
        <w:jc w:val="both"/>
      </w:pPr>
    </w:p>
    <w:p w:rsidR="00A42D33" w:rsidRDefault="00A42D33" w:rsidP="00A42D33">
      <w:pPr>
        <w:spacing w:line="360" w:lineRule="auto"/>
        <w:jc w:val="both"/>
        <w:rPr>
          <w:b/>
          <w:i/>
        </w:rPr>
      </w:pPr>
    </w:p>
    <w:p w:rsidR="00A42D33" w:rsidRDefault="00F721ED" w:rsidP="00A42D33">
      <w:pPr>
        <w:spacing w:line="360" w:lineRule="auto"/>
        <w:jc w:val="both"/>
        <w:rPr>
          <w:b/>
          <w:i/>
        </w:rPr>
      </w:pPr>
      <w:r>
        <w:rPr>
          <w:b/>
          <w:i/>
        </w:rPr>
        <w:t>Dotyczy praktyk aplikantów X</w:t>
      </w:r>
      <w:bookmarkStart w:id="0" w:name="_GoBack"/>
      <w:bookmarkEnd w:id="0"/>
      <w:r w:rsidR="00A42D33">
        <w:rPr>
          <w:b/>
          <w:i/>
        </w:rPr>
        <w:t xml:space="preserve"> rocznika aplikacji prokuratorskiej po XXIV zjeździe</w:t>
      </w:r>
    </w:p>
    <w:p w:rsidR="00A42D33" w:rsidRDefault="00A42D33" w:rsidP="00A42D33">
      <w:pPr>
        <w:spacing w:line="360" w:lineRule="auto"/>
        <w:jc w:val="both"/>
        <w:rPr>
          <w:b/>
          <w:i/>
        </w:rPr>
      </w:pPr>
    </w:p>
    <w:p w:rsidR="00A42D33" w:rsidRDefault="00A42D33" w:rsidP="00A42D33">
      <w:pPr>
        <w:spacing w:line="360" w:lineRule="auto"/>
        <w:jc w:val="both"/>
        <w:rPr>
          <w:b/>
          <w:i/>
        </w:rPr>
      </w:pPr>
    </w:p>
    <w:p w:rsidR="00A42D33" w:rsidRDefault="00A42D33" w:rsidP="00A42D33">
      <w:pPr>
        <w:spacing w:line="360" w:lineRule="auto"/>
        <w:ind w:firstLine="708"/>
        <w:jc w:val="both"/>
      </w:pPr>
      <w:r>
        <w:t xml:space="preserve">W oparciu o § 2, 9 i 10 zarządzenia Dyrektora Krajowej Szkoły Sądownictwa </w:t>
      </w:r>
      <w:r>
        <w:br/>
        <w:t>i Prokuratury w Krakowie Nr 132/2019 z dnia 15 marca 2019 roku w sprawie szczegółowych zasad odbywania praktyki przez apl</w:t>
      </w:r>
      <w:r w:rsidR="00206AB8">
        <w:t xml:space="preserve">ikantów aplikacji sędziowskiej i </w:t>
      </w:r>
      <w:r>
        <w:t>prokuratorskiej, uprzejmie przedstawiam szczegółowy zakres tematyczny, który powinien być przedmiotem praktyk aplikantów aplikacji prokuratorskiej, odbywanych w:  prokuraturach okręgowych – u prokuratorów wykonujących zadania z zakresu prawa cywilnego (</w:t>
      </w:r>
      <w:r w:rsidRPr="009D0262">
        <w:rPr>
          <w:b/>
        </w:rPr>
        <w:t xml:space="preserve">w okresie od </w:t>
      </w:r>
      <w:r w:rsidR="009D0262">
        <w:rPr>
          <w:b/>
        </w:rPr>
        <w:t xml:space="preserve">26 do </w:t>
      </w:r>
      <w:r w:rsidR="009D0262" w:rsidRPr="009D0262">
        <w:rPr>
          <w:b/>
        </w:rPr>
        <w:t>30 kwietnia</w:t>
      </w:r>
      <w:r w:rsidRPr="009D0262">
        <w:rPr>
          <w:b/>
        </w:rPr>
        <w:t xml:space="preserve"> 20</w:t>
      </w:r>
      <w:r w:rsidR="009D0262" w:rsidRPr="009D0262">
        <w:rPr>
          <w:b/>
        </w:rPr>
        <w:t>21</w:t>
      </w:r>
      <w:r w:rsidRPr="009D0262">
        <w:rPr>
          <w:b/>
        </w:rPr>
        <w:t xml:space="preserve"> roku</w:t>
      </w:r>
      <w:r>
        <w:t xml:space="preserve">), w sądach okręgowych – wydziałach cywilnych odwoławczych (w okresie </w:t>
      </w:r>
      <w:r w:rsidRPr="009D0262">
        <w:rPr>
          <w:b/>
        </w:rPr>
        <w:t xml:space="preserve">od </w:t>
      </w:r>
      <w:r w:rsidR="009D0262" w:rsidRPr="009D0262">
        <w:rPr>
          <w:b/>
        </w:rPr>
        <w:t>4 do 7 maja 2021</w:t>
      </w:r>
      <w:r w:rsidRPr="009D0262">
        <w:rPr>
          <w:b/>
        </w:rPr>
        <w:t xml:space="preserve"> roku</w:t>
      </w:r>
      <w:r>
        <w:t>) oraz w sądach rejonowych wydziałach rodzinnych i nieletnich (</w:t>
      </w:r>
      <w:r w:rsidRPr="009D0262">
        <w:rPr>
          <w:b/>
        </w:rPr>
        <w:t xml:space="preserve">w okresie od </w:t>
      </w:r>
      <w:r w:rsidR="009D0262" w:rsidRPr="009D0262">
        <w:rPr>
          <w:b/>
        </w:rPr>
        <w:t>10 do 14 maja 2021</w:t>
      </w:r>
      <w:r w:rsidRPr="009D0262">
        <w:rPr>
          <w:b/>
        </w:rPr>
        <w:t xml:space="preserve"> r</w:t>
      </w:r>
      <w:r>
        <w:t>.).</w:t>
      </w:r>
    </w:p>
    <w:p w:rsidR="00A42D33" w:rsidRDefault="00A42D33" w:rsidP="00A42D33">
      <w:pPr>
        <w:spacing w:line="360" w:lineRule="auto"/>
        <w:ind w:firstLine="708"/>
        <w:jc w:val="both"/>
      </w:pPr>
      <w:r>
        <w:t xml:space="preserve">Zasadniczym celem praktyk jest zaznajomienie aplikantów z czynnościami i metodyką pracy patrona oraz doskonalenie umiejętności wykorzystania wiedzy teoretycznej </w:t>
      </w:r>
      <w:r w:rsidR="00F92018">
        <w:br/>
      </w:r>
      <w:r>
        <w:t xml:space="preserve">i znajomości orzecznictwa. Każdorazowo praktyka winna utrwalić wiedzę zdobytą podczas bezpośrednio poprzedzających ją zajęć seminaryjnych w ramach zjazdu. </w:t>
      </w:r>
    </w:p>
    <w:p w:rsidR="00A42D33" w:rsidRDefault="00A42D33" w:rsidP="00A42D33">
      <w:pPr>
        <w:spacing w:line="360" w:lineRule="auto"/>
        <w:ind w:firstLine="708"/>
        <w:jc w:val="both"/>
      </w:pPr>
      <w:r>
        <w:t>Przedmiotem XXIV zjazdu aplika</w:t>
      </w:r>
      <w:r w:rsidR="00206AB8">
        <w:t>cji prokuratorskiej, który odbędzie się w dniach od 19 do 23 kwietnia 2021 roku będą</w:t>
      </w:r>
      <w:r>
        <w:t xml:space="preserve"> następujące zagadnienia:</w:t>
      </w:r>
    </w:p>
    <w:p w:rsidR="00A42D33" w:rsidRPr="00A42D33" w:rsidRDefault="00A42D33" w:rsidP="00A42D33">
      <w:pPr>
        <w:pStyle w:val="Akapitzlist"/>
        <w:numPr>
          <w:ilvl w:val="0"/>
          <w:numId w:val="3"/>
        </w:numPr>
        <w:spacing w:line="360" w:lineRule="auto"/>
        <w:jc w:val="both"/>
        <w:rPr>
          <w:u w:val="single"/>
        </w:rPr>
      </w:pPr>
      <w:r w:rsidRPr="00A42D33">
        <w:rPr>
          <w:u w:val="single"/>
        </w:rPr>
        <w:t xml:space="preserve">Uprawnienie prokuratora do zaskarżania orzeczeń sądowych. </w:t>
      </w:r>
    </w:p>
    <w:p w:rsidR="00A42D33" w:rsidRPr="00A42D33" w:rsidRDefault="00A42D33" w:rsidP="00A42D33">
      <w:pPr>
        <w:spacing w:line="360" w:lineRule="auto"/>
        <w:jc w:val="both"/>
      </w:pPr>
      <w:r w:rsidRPr="00A42D33">
        <w:t xml:space="preserve">Zaskarżanie orzeczeń przez prokuratora. Podstawa normatywna i terminy do wnoszenia środków zaskarżenia. Apelacja jako środek odwoławczy (w procesie i postępowaniu nieprocesowym). Terminy do wniesienia apelacji w zależności od formy udziału prokuratora </w:t>
      </w:r>
      <w:r w:rsidRPr="00A42D33">
        <w:lastRenderedPageBreak/>
        <w:t>w postępowaniu. Wymagania formalne i podstawy prawne apelacji. Substrat i zakres zaskarżenia. Zarzuty apelacji, rodzaje zarzutów, sposób ich formułowania, przyczyny nieważności postępowania. Wnioski apelacji i sposób ich formułowania. Uzasadnienie apelacji i jego konstrukcja.</w:t>
      </w:r>
    </w:p>
    <w:p w:rsidR="00A42D33" w:rsidRPr="00A42D33" w:rsidRDefault="00A42D33" w:rsidP="00A42D33">
      <w:pPr>
        <w:spacing w:line="360" w:lineRule="auto"/>
        <w:jc w:val="both"/>
      </w:pPr>
      <w:r w:rsidRPr="00A42D33">
        <w:t>Zażalenie jako środek odwoławczy (w postępowaniu procesowym i innych rodzajach postępowania). Postanowienia, na które przysługuje zażalenie. Konstrukcja zażalenia.</w:t>
      </w:r>
    </w:p>
    <w:p w:rsidR="00A42D33" w:rsidRPr="00A42D33" w:rsidRDefault="00A42D33" w:rsidP="00A42D33">
      <w:pPr>
        <w:pStyle w:val="Akapitzlist"/>
        <w:numPr>
          <w:ilvl w:val="0"/>
          <w:numId w:val="3"/>
        </w:numPr>
        <w:spacing w:line="360" w:lineRule="auto"/>
        <w:jc w:val="both"/>
      </w:pPr>
      <w:r w:rsidRPr="00A42D33">
        <w:rPr>
          <w:u w:val="single"/>
        </w:rPr>
        <w:t>Skarga o wznowienie postępowania i skarga kasacyjna</w:t>
      </w:r>
      <w:r w:rsidRPr="00A42D33">
        <w:t>.</w:t>
      </w:r>
    </w:p>
    <w:p w:rsidR="00A42D33" w:rsidRPr="00A42D33" w:rsidRDefault="00A42D33" w:rsidP="00A42D33">
      <w:pPr>
        <w:spacing w:line="360" w:lineRule="auto"/>
        <w:jc w:val="both"/>
      </w:pPr>
      <w:r w:rsidRPr="00A42D33">
        <w:t>Istota skargi o wznowienie postępowania. Rodzaje orzeczeń, od których przysługuje skarga o wznowienie postępowania. Podstawy i terminy do wniesienia skargi. Wymogi formalne skargi o wznowienie postępowania.</w:t>
      </w:r>
    </w:p>
    <w:p w:rsidR="00A42D33" w:rsidRPr="00A42D33" w:rsidRDefault="00A42D33" w:rsidP="00A42D33">
      <w:pPr>
        <w:spacing w:line="360" w:lineRule="auto"/>
        <w:jc w:val="both"/>
      </w:pPr>
      <w:r w:rsidRPr="00A42D33">
        <w:t>Skarga kasacyjna. Orzeczenia, od których przysługuje skarga kasacyjna. Dopuszczalność skargi kasacyjnej. Podmioty uprawnione do wniesienia skargi kasacyjnej; zakres uprawnienia prokuratora powszechnej jednostki organizacyjnej i Prokuratora Generalnego do wniesienia skargi kasacyjnej. Termin i podstawy skargi kasacyjnej. Wymogi formalne skargi kasacyjnej i okoliczności uzasadniające przyjęcie skargi kasacyjnej do rozpoznania.</w:t>
      </w:r>
    </w:p>
    <w:p w:rsidR="00A42D33" w:rsidRPr="00A42D33" w:rsidRDefault="00A42D33" w:rsidP="00A42D33">
      <w:pPr>
        <w:pStyle w:val="Akapitzlist"/>
        <w:keepNext/>
        <w:numPr>
          <w:ilvl w:val="0"/>
          <w:numId w:val="3"/>
        </w:numPr>
        <w:spacing w:line="360" w:lineRule="auto"/>
        <w:jc w:val="both"/>
      </w:pPr>
      <w:r w:rsidRPr="00A42D33">
        <w:rPr>
          <w:u w:val="single"/>
        </w:rPr>
        <w:t>Postępowanie przed sądem odwoławczym</w:t>
      </w:r>
      <w:r w:rsidRPr="00A42D33">
        <w:t>.</w:t>
      </w:r>
    </w:p>
    <w:p w:rsidR="00A42D33" w:rsidRPr="00A42D33" w:rsidRDefault="00A42D33" w:rsidP="00A42D33">
      <w:pPr>
        <w:spacing w:line="360" w:lineRule="auto"/>
        <w:jc w:val="both"/>
      </w:pPr>
      <w:r w:rsidRPr="00A42D33">
        <w:t>Zasada kontynuacji postępowania – merytoryczny charakter postępowania apelacyjnego.</w:t>
      </w:r>
    </w:p>
    <w:p w:rsidR="00A42D33" w:rsidRPr="00A42D33" w:rsidRDefault="00A42D33" w:rsidP="00A42D33">
      <w:pPr>
        <w:spacing w:line="360" w:lineRule="auto"/>
        <w:jc w:val="both"/>
      </w:pPr>
      <w:r w:rsidRPr="00A42D33">
        <w:t xml:space="preserve">Zakres kognicji sądu drugiej instancji, granice podmiotowe i przedmiotowe rozpoznania apelacji, zakaz przekształceń przedmiotowych i podmiotowych, zakaz </w:t>
      </w:r>
      <w:r w:rsidRPr="00A42D33">
        <w:rPr>
          <w:i/>
        </w:rPr>
        <w:t>reformationis in peius</w:t>
      </w:r>
      <w:r w:rsidRPr="00A42D33">
        <w:t>.</w:t>
      </w:r>
    </w:p>
    <w:p w:rsidR="00A42D33" w:rsidRDefault="00A42D33" w:rsidP="00A42D33">
      <w:pPr>
        <w:spacing w:line="360" w:lineRule="auto"/>
        <w:jc w:val="both"/>
      </w:pPr>
      <w:r w:rsidRPr="00A42D33">
        <w:t>Podstawa orzeczenia sądu apelacyjnego. Prekluzja dowodowa w postępowaniu odwoławczym. Specyfika postępowania zażaleniowego.</w:t>
      </w:r>
    </w:p>
    <w:p w:rsidR="00A42D33" w:rsidRPr="00F92018" w:rsidRDefault="00A42D33" w:rsidP="00A42D33">
      <w:pPr>
        <w:pStyle w:val="Akapitzlist"/>
        <w:numPr>
          <w:ilvl w:val="0"/>
          <w:numId w:val="3"/>
        </w:numPr>
        <w:spacing w:line="360" w:lineRule="auto"/>
        <w:jc w:val="both"/>
        <w:rPr>
          <w:u w:val="single"/>
        </w:rPr>
      </w:pPr>
      <w:r w:rsidRPr="00F92018">
        <w:rPr>
          <w:bCs/>
          <w:iCs/>
          <w:szCs w:val="28"/>
          <w:u w:val="single"/>
        </w:rPr>
        <w:t>Postępowanie w sprawach nieletnich</w:t>
      </w:r>
    </w:p>
    <w:p w:rsidR="00A42D33" w:rsidRPr="00A42D33" w:rsidRDefault="00A42D33" w:rsidP="00A42D33">
      <w:pPr>
        <w:spacing w:line="360" w:lineRule="auto"/>
        <w:jc w:val="both"/>
        <w:rPr>
          <w:u w:val="single"/>
        </w:rPr>
      </w:pPr>
      <w:r w:rsidRPr="00A42D33">
        <w:t>Ustawa o postępowaniu wobec nieletnich. Podstawowe zagadnienia materialne i procesowe.</w:t>
      </w:r>
    </w:p>
    <w:p w:rsidR="00A42D33" w:rsidRDefault="00A42D33" w:rsidP="00A42D33">
      <w:pPr>
        <w:spacing w:line="360" w:lineRule="auto"/>
        <w:jc w:val="both"/>
        <w:rPr>
          <w:rFonts w:eastAsia="Calibri"/>
          <w:kern w:val="144"/>
        </w:rPr>
      </w:pPr>
    </w:p>
    <w:p w:rsidR="009A057D" w:rsidRDefault="009A057D" w:rsidP="009A057D">
      <w:pPr>
        <w:spacing w:line="360" w:lineRule="auto"/>
        <w:ind w:firstLine="708"/>
        <w:jc w:val="both"/>
      </w:pPr>
      <w:r w:rsidRPr="00194C70">
        <w:t xml:space="preserve">Celem praktyk </w:t>
      </w:r>
      <w:r w:rsidRPr="009A057D">
        <w:t>odbywanych w</w:t>
      </w:r>
      <w:r w:rsidRPr="009A057D">
        <w:rPr>
          <w:b/>
        </w:rPr>
        <w:t xml:space="preserve"> prokuraturach okręgowych (u prokuratorów wykonujący zadania z zakresu prawa cywilnego)</w:t>
      </w:r>
      <w:r>
        <w:t xml:space="preserve"> </w:t>
      </w:r>
      <w:r w:rsidRPr="00194C70">
        <w:t>jest utrwalenie wiedzy dotyczącej udziału prokuratora w postępowaniu cywilnym wszczętym z inicjatywy innych podmiotów, pozycji prokuratora w sprawie cywilnej, a także sporządzania przez prokuratora środków zaskarżenia. Aplikanci winni zapoznać się z aktami spraw, w których wywiedziono tego rodzaju środki, jak również sporządzać projekty środków odwoławczych</w:t>
      </w:r>
      <w:r>
        <w:t>.</w:t>
      </w:r>
    </w:p>
    <w:p w:rsidR="009A057D" w:rsidRDefault="00A42D33" w:rsidP="009A057D">
      <w:pPr>
        <w:spacing w:line="360" w:lineRule="auto"/>
        <w:ind w:firstLine="708"/>
        <w:jc w:val="both"/>
        <w:rPr>
          <w:rFonts w:eastAsia="Calibri"/>
          <w:kern w:val="144"/>
        </w:rPr>
      </w:pPr>
      <w:r w:rsidRPr="00A42D33">
        <w:rPr>
          <w:rFonts w:eastAsia="Calibri"/>
          <w:kern w:val="144"/>
        </w:rPr>
        <w:t>Podczas praktyk aplikanci powinni również nabyć praktyczne umiejętności, obejmujące:</w:t>
      </w:r>
    </w:p>
    <w:p w:rsidR="00A42D33" w:rsidRDefault="009A057D" w:rsidP="009A057D">
      <w:pPr>
        <w:pStyle w:val="Akapitzlist"/>
        <w:numPr>
          <w:ilvl w:val="0"/>
          <w:numId w:val="4"/>
        </w:numPr>
        <w:spacing w:line="360" w:lineRule="auto"/>
        <w:jc w:val="both"/>
      </w:pPr>
      <w:r>
        <w:lastRenderedPageBreak/>
        <w:t>z</w:t>
      </w:r>
      <w:r w:rsidR="00A42D33">
        <w:t>najomość zasad rejestracji spraw cywilnych w prokuraturze poprzez zapoznanie się z urządzeniami rejestrowymi, sposobem dekretowania spraw, techniką wyłączania materiałów z postępowania karnego, zakładania akt nowej sprawy „Pc” i zasad jej wykreślania z urządzeń ewidencyjnych jako sprawy zakończonej;</w:t>
      </w:r>
    </w:p>
    <w:p w:rsidR="00A42D33" w:rsidRDefault="009A057D" w:rsidP="009A057D">
      <w:pPr>
        <w:pStyle w:val="Akapitzlist"/>
        <w:numPr>
          <w:ilvl w:val="0"/>
          <w:numId w:val="4"/>
        </w:numPr>
        <w:spacing w:line="360" w:lineRule="auto"/>
        <w:jc w:val="both"/>
      </w:pPr>
      <w:r>
        <w:t>o</w:t>
      </w:r>
      <w:r w:rsidR="00A42D33">
        <w:t>cenę zgromadzonego w sprawie materiału dowodowego pod kątem podjęcia decyzji końcowej dotyczącej sposobu załatwienia sprawy, tj. ustalenia, czy zaistniały przesłanki formalne i materialno-prawne w celu ustalenia do zainicjowania postępowania sądowego poprzez skierowanie pozwu lub wniosku, czy zaistniały w sprawie podstawy do wywiedzenia apelacji czy też do wstąpienia – na podstawie art. 7 k.p.c. i art. 60 § 1 k.p.c. – do toczącego się już postępowania sądowego;</w:t>
      </w:r>
    </w:p>
    <w:p w:rsidR="009A057D" w:rsidRDefault="009A057D" w:rsidP="009A057D">
      <w:pPr>
        <w:pStyle w:val="Akapitzlist"/>
        <w:numPr>
          <w:ilvl w:val="0"/>
          <w:numId w:val="4"/>
        </w:numPr>
        <w:spacing w:line="360" w:lineRule="auto"/>
        <w:jc w:val="both"/>
      </w:pPr>
      <w:r>
        <w:t>o</w:t>
      </w:r>
      <w:r w:rsidR="00A42D33">
        <w:t xml:space="preserve">pracowanie, stosownie do poczynionych ustaleń, projektu właściwego pisma inicjującego postępowanie sądowe (pozwu lub wniosku), </w:t>
      </w:r>
      <w:r w:rsidR="00A42D33" w:rsidRPr="009A057D">
        <w:t>projektu apelacji</w:t>
      </w:r>
      <w:r w:rsidRPr="009A057D">
        <w:t>, skargi kasacyjnej oraz skargi o wznowienie postępowania</w:t>
      </w:r>
      <w:r w:rsidR="00A42D33">
        <w:t>, jak również projektu odpowiedzi do zainteresowanego o braku przesłanek formalnych i materialnych do wywiedzenia wyżej wymienionych środków prawnych, bądź o braku podstaw prawnych do zgłoszenia przez prokuratora udziału w postepowaniu toczącym się przed sądem, wszczętym przez osoby uprawnione.</w:t>
      </w:r>
    </w:p>
    <w:p w:rsidR="009A057D" w:rsidRDefault="009A057D" w:rsidP="009A057D">
      <w:pPr>
        <w:spacing w:line="360" w:lineRule="auto"/>
        <w:jc w:val="both"/>
      </w:pPr>
    </w:p>
    <w:p w:rsidR="009A057D" w:rsidRPr="009A057D" w:rsidRDefault="009A057D" w:rsidP="009A057D">
      <w:pPr>
        <w:spacing w:line="360" w:lineRule="auto"/>
        <w:ind w:firstLine="360"/>
        <w:jc w:val="both"/>
      </w:pPr>
      <w:r w:rsidRPr="009A057D">
        <w:t xml:space="preserve">Celem praktyk odbywanych </w:t>
      </w:r>
      <w:r w:rsidRPr="009A057D">
        <w:rPr>
          <w:b/>
        </w:rPr>
        <w:t>w sądach okręgowych – wydziałach cywilnych odwoławczych</w:t>
      </w:r>
      <w:r w:rsidRPr="009A057D">
        <w:t xml:space="preserve"> jest zaznajomienie z metodyką pracy sędziego w wydziale odwoławczym, a także utrwalenie wiedzy dotyczącej granic zaskarżenia, konstrukcji zarzutów apelacyjnych, postępowania międzyinstancyjnego, uzupełniania braków formalnych oraz fiskalnych środków odwoławczych, odrzucania środka zaskarżenia, możliwości działania sądu odwoławczego z urzędu, nieważności postępowania.</w:t>
      </w:r>
    </w:p>
    <w:p w:rsidR="009A057D" w:rsidRDefault="009A057D" w:rsidP="009A057D">
      <w:pPr>
        <w:spacing w:line="360" w:lineRule="auto"/>
        <w:ind w:firstLine="360"/>
        <w:jc w:val="both"/>
      </w:pPr>
      <w:r>
        <w:t>W trakcie praktyk szczególny nacisk należy położyć na:</w:t>
      </w:r>
    </w:p>
    <w:p w:rsidR="009A057D" w:rsidRDefault="009A057D" w:rsidP="009A057D">
      <w:pPr>
        <w:spacing w:line="360" w:lineRule="auto"/>
        <w:ind w:firstLine="360"/>
        <w:jc w:val="both"/>
      </w:pPr>
      <w:r>
        <w:t>•</w:t>
      </w:r>
      <w:r>
        <w:tab/>
        <w:t>u</w:t>
      </w:r>
      <w:r w:rsidR="00206AB8">
        <w:t>dział aplikantów w wokandach</w:t>
      </w:r>
      <w:r>
        <w:t xml:space="preserve"> sądu okręgowego dotyczących rozpoznawania spraw cywilnych, w których wniesione zostały środki zaskarżenia, w szczególności przez prokuratora</w:t>
      </w:r>
      <w:r w:rsidR="00B56ABA">
        <w:t>;</w:t>
      </w:r>
    </w:p>
    <w:p w:rsidR="009A057D" w:rsidRDefault="009A057D" w:rsidP="009A057D">
      <w:pPr>
        <w:spacing w:line="360" w:lineRule="auto"/>
        <w:ind w:firstLine="360"/>
        <w:jc w:val="both"/>
      </w:pPr>
      <w:r>
        <w:t>•</w:t>
      </w:r>
      <w:r>
        <w:tab/>
      </w:r>
      <w:r w:rsidR="00F92018">
        <w:t>zakres kognicji sądu II instancji oraz granice podmiotowe i przedmiotowe rozpoznania apelacji</w:t>
      </w:r>
      <w:r w:rsidR="00B56ABA">
        <w:t>;</w:t>
      </w:r>
    </w:p>
    <w:p w:rsidR="009A057D" w:rsidRDefault="009A057D" w:rsidP="009A057D">
      <w:pPr>
        <w:spacing w:line="360" w:lineRule="auto"/>
        <w:ind w:firstLine="360"/>
        <w:jc w:val="both"/>
      </w:pPr>
      <w:r>
        <w:t>•</w:t>
      </w:r>
      <w:r>
        <w:tab/>
      </w:r>
      <w:r w:rsidR="00F92018">
        <w:t>specyfikę postępowania zażaleniowego</w:t>
      </w:r>
      <w:r w:rsidR="00B56ABA">
        <w:t>;</w:t>
      </w:r>
    </w:p>
    <w:p w:rsidR="009A057D" w:rsidRDefault="009A057D" w:rsidP="00F92018">
      <w:pPr>
        <w:spacing w:line="360" w:lineRule="auto"/>
        <w:ind w:firstLine="360"/>
        <w:jc w:val="both"/>
      </w:pPr>
      <w:r>
        <w:t>•</w:t>
      </w:r>
      <w:r>
        <w:tab/>
        <w:t xml:space="preserve">sporządzanie projektów </w:t>
      </w:r>
      <w:r w:rsidR="00F92018">
        <w:t>postanowień i wyroków</w:t>
      </w:r>
      <w:r w:rsidR="00971BEA">
        <w:t xml:space="preserve"> wraz z uzasadnieniem</w:t>
      </w:r>
      <w:r w:rsidR="00F92018">
        <w:t>, w sprawach, w których wniesiono środki zaskarżenia.</w:t>
      </w:r>
    </w:p>
    <w:p w:rsidR="00F92018" w:rsidRPr="00F92018" w:rsidRDefault="00F92018" w:rsidP="00F92018">
      <w:pPr>
        <w:spacing w:line="360" w:lineRule="auto"/>
        <w:ind w:firstLine="360"/>
        <w:jc w:val="both"/>
      </w:pPr>
      <w:r w:rsidRPr="00F92018">
        <w:lastRenderedPageBreak/>
        <w:t>Celem praktyk</w:t>
      </w:r>
      <w:r>
        <w:t xml:space="preserve"> odbywanych w </w:t>
      </w:r>
      <w:r w:rsidRPr="00F92018">
        <w:rPr>
          <w:b/>
        </w:rPr>
        <w:t>sądach rejonowych wydziałach rodzinnych i nieletnich</w:t>
      </w:r>
      <w:r w:rsidRPr="00F92018">
        <w:t xml:space="preserve"> jest zaznajomienie aplikantów z czynnościami i metodyką pracy sędziego rodzinnego </w:t>
      </w:r>
      <w:r>
        <w:br/>
      </w:r>
      <w:r w:rsidRPr="00F92018">
        <w:t>w sprawach dotyczących nieletnich pod kątem ugruntowania wiedzy zdobytej podczas zjazdu.</w:t>
      </w:r>
    </w:p>
    <w:p w:rsidR="00F92018" w:rsidRDefault="00F92018" w:rsidP="00F92018">
      <w:pPr>
        <w:spacing w:line="360" w:lineRule="auto"/>
        <w:ind w:firstLine="360"/>
        <w:jc w:val="both"/>
      </w:pPr>
      <w:r>
        <w:t xml:space="preserve">Z uwagi na zakres tematyczny XXIV zjazdu patron praktyki powinien przy pracy </w:t>
      </w:r>
      <w:r>
        <w:br/>
        <w:t>z aplikantami poświęcić szczególna uwagę zagadnieniom takim jak:</w:t>
      </w:r>
    </w:p>
    <w:p w:rsidR="00F92018" w:rsidRDefault="00B56ABA" w:rsidP="00F92018">
      <w:pPr>
        <w:pStyle w:val="Akapitzlist"/>
        <w:numPr>
          <w:ilvl w:val="0"/>
          <w:numId w:val="5"/>
        </w:numPr>
        <w:spacing w:line="360" w:lineRule="auto"/>
        <w:jc w:val="both"/>
      </w:pPr>
      <w:r>
        <w:t>odpowiednie stosowanie przepisów k.p.c. i k.p.k. w sprawach nieletnich wszczynanych na podstawie u.p.n.</w:t>
      </w:r>
    </w:p>
    <w:p w:rsidR="00B56ABA" w:rsidRDefault="00206AB8" w:rsidP="00F92018">
      <w:pPr>
        <w:pStyle w:val="Akapitzlist"/>
        <w:numPr>
          <w:ilvl w:val="0"/>
          <w:numId w:val="5"/>
        </w:numPr>
        <w:spacing w:line="360" w:lineRule="auto"/>
        <w:jc w:val="both"/>
      </w:pPr>
      <w:r>
        <w:t>bieg postę</w:t>
      </w:r>
      <w:r w:rsidR="00B56ABA">
        <w:t>powania w sprawie nieletniego od zawiadomienia o podejrzeniu dopuszczenia się popełnienia czynu karalnego lub zachowań świadczących o uleganiu procesowi demoralizacji do zakończenia postępowania rozpoznawczego;</w:t>
      </w:r>
    </w:p>
    <w:p w:rsidR="00B56ABA" w:rsidRDefault="00B56ABA" w:rsidP="00F92018">
      <w:pPr>
        <w:pStyle w:val="Akapitzlist"/>
        <w:numPr>
          <w:ilvl w:val="0"/>
          <w:numId w:val="5"/>
        </w:numPr>
        <w:spacing w:line="360" w:lineRule="auto"/>
        <w:jc w:val="both"/>
      </w:pPr>
      <w:r>
        <w:t>przebieg rozprawy lub posiedzenia, w tym wysłuchanie nieletniego</w:t>
      </w:r>
    </w:p>
    <w:p w:rsidR="00B56ABA" w:rsidRDefault="00B56ABA" w:rsidP="00F92018">
      <w:pPr>
        <w:pStyle w:val="Akapitzlist"/>
        <w:numPr>
          <w:ilvl w:val="0"/>
          <w:numId w:val="5"/>
        </w:numPr>
        <w:spacing w:line="360" w:lineRule="auto"/>
        <w:jc w:val="both"/>
      </w:pPr>
      <w:r>
        <w:t>stosowanie środków tymczasowych oraz umieszczenia nieletniego w schronisku dla nieletnich, nadzór sędziego rodzinnego nad przestrzeganiem przepisów w zakresie zatrzymania nieletniego i umieszczenia go w policyjnej izbie dziecka</w:t>
      </w:r>
    </w:p>
    <w:p w:rsidR="00B56ABA" w:rsidRDefault="00206AB8" w:rsidP="00F92018">
      <w:pPr>
        <w:pStyle w:val="Akapitzlist"/>
        <w:numPr>
          <w:ilvl w:val="0"/>
          <w:numId w:val="5"/>
        </w:numPr>
        <w:spacing w:line="360" w:lineRule="auto"/>
        <w:jc w:val="both"/>
      </w:pPr>
      <w:r>
        <w:t>postę</w:t>
      </w:r>
      <w:r w:rsidR="00B56ABA">
        <w:t>powanie dowodowe, w tym zlecanie wywiadu, opinii biegłych w trakcie pobytu nieletniego w schronis</w:t>
      </w:r>
      <w:r>
        <w:t>ku lub opiniodawczego zespołu są</w:t>
      </w:r>
      <w:r w:rsidR="00B56ABA">
        <w:t>dowych specjalistów</w:t>
      </w:r>
    </w:p>
    <w:p w:rsidR="00B56ABA" w:rsidRDefault="00B56ABA" w:rsidP="00F92018">
      <w:pPr>
        <w:pStyle w:val="Akapitzlist"/>
        <w:numPr>
          <w:ilvl w:val="0"/>
          <w:numId w:val="5"/>
        </w:numPr>
        <w:spacing w:line="360" w:lineRule="auto"/>
        <w:jc w:val="both"/>
      </w:pPr>
      <w:r>
        <w:t>wydawanie postanowień o przekazaniu sprawy prokuratorowi, jeżeli w toku postępowania wyjaśniającego ujawniono okoliczności uzasadniające orzeczenie wobec nieletniego ka</w:t>
      </w:r>
      <w:r w:rsidR="00BE3CBF">
        <w:t>ry na podstawie art. 10 § 2 k.</w:t>
      </w:r>
      <w:r>
        <w:t>k.</w:t>
      </w:r>
    </w:p>
    <w:p w:rsidR="009A057D" w:rsidRDefault="00B56ABA" w:rsidP="00B56ABA">
      <w:pPr>
        <w:pStyle w:val="Akapitzlist"/>
        <w:numPr>
          <w:ilvl w:val="0"/>
          <w:numId w:val="5"/>
        </w:numPr>
        <w:spacing w:line="360" w:lineRule="auto"/>
        <w:jc w:val="both"/>
      </w:pPr>
      <w:r>
        <w:t>wyd</w:t>
      </w:r>
      <w:r w:rsidR="00206AB8">
        <w:t>awanie orzeczeń kończących postę</w:t>
      </w:r>
      <w:r>
        <w:t>powanie w sprawie, w szczególności orzeczenia o zastosowaniu środka wychowawczego lub poprawczego.</w:t>
      </w:r>
    </w:p>
    <w:p w:rsidR="009A057D" w:rsidRPr="00194C70" w:rsidRDefault="009A057D" w:rsidP="009A057D">
      <w:pPr>
        <w:spacing w:line="360" w:lineRule="auto"/>
        <w:ind w:firstLine="360"/>
        <w:jc w:val="both"/>
      </w:pPr>
    </w:p>
    <w:p w:rsidR="00A42D33" w:rsidRDefault="00A42D33" w:rsidP="00A42D33">
      <w:pPr>
        <w:spacing w:line="360" w:lineRule="auto"/>
        <w:ind w:firstLine="708"/>
        <w:jc w:val="both"/>
      </w:pPr>
      <w:r>
        <w:t>Ponadto aplikanci powinni uczestniczyć (także w charakterze protokolantów) w czynnościach informacyjnego wysłuchania osób będących stronami lub uczestnikami postępowania oraz w czynnościach przesłuchania świadków, które prokurator podejmuje w trybie art. 69 § 1 i 2 ustawy Prawo o prokuraturze z dnia 28 stycznia 2016 r. w celu rozpoznania i wyjaśnienia istoty sprawy.</w:t>
      </w:r>
    </w:p>
    <w:p w:rsidR="00A42D33" w:rsidRDefault="00A42D33" w:rsidP="00B56ABA">
      <w:pPr>
        <w:spacing w:line="360" w:lineRule="auto"/>
        <w:ind w:firstLine="708"/>
        <w:jc w:val="both"/>
      </w:pPr>
      <w:r>
        <w:t xml:space="preserve">Powyższe zalecenia nie eliminują możliwości wykonywania przez aplikantów innych zadań, wynikających z bieżącego funkcjonowania </w:t>
      </w:r>
      <w:r w:rsidR="00B56ABA">
        <w:t xml:space="preserve">sądu i </w:t>
      </w:r>
      <w:r>
        <w:t xml:space="preserve">prokuratury. Patroni zadbać jednak powinni, 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też wpływających na podniesienie ich ogólnych </w:t>
      </w:r>
      <w:r>
        <w:lastRenderedPageBreak/>
        <w:t>umiejętności. Służyć ma temu również zapoznanie aplikantów z zasadami biurowości, w tym prowadzenia urządzeń ewidencyjnych.</w:t>
      </w:r>
    </w:p>
    <w:p w:rsidR="00206AB8" w:rsidRDefault="00206AB8" w:rsidP="00206AB8">
      <w:pPr>
        <w:ind w:firstLine="284"/>
        <w:jc w:val="both"/>
      </w:pPr>
      <w:r>
        <w:rPr>
          <w:b/>
        </w:rPr>
        <w:t>Końcowo uprzejmie informuję, że przedmiotem sprawdzianu wiedzy, który aplikanci będą pisać po odbyciu praktyk po XXIV z</w:t>
      </w:r>
      <w:r w:rsidR="009D0262">
        <w:rPr>
          <w:b/>
        </w:rPr>
        <w:t xml:space="preserve">jeździe, tj. w dniu 17 maja </w:t>
      </w:r>
      <w:r>
        <w:rPr>
          <w:b/>
        </w:rPr>
        <w:t>2021 r. będzie sporządzenie projektu apelac</w:t>
      </w:r>
      <w:r w:rsidR="009D0262">
        <w:rPr>
          <w:b/>
        </w:rPr>
        <w:t>ji lub skargi o wznowienie postę</w:t>
      </w:r>
      <w:r>
        <w:rPr>
          <w:b/>
        </w:rPr>
        <w:t>powania w jednym z typów spraw będących przedmiotem zjazdów bloku cywilnego</w:t>
      </w:r>
      <w:r>
        <w:t>. Dlatego ważnym jest, aby aplikanci podczas praktyk opanowali tę umiejętność w jak najwyższym stopniu.</w:t>
      </w:r>
    </w:p>
    <w:p w:rsidR="00206AB8" w:rsidRDefault="00206AB8" w:rsidP="00B56ABA">
      <w:pPr>
        <w:spacing w:line="360" w:lineRule="auto"/>
        <w:ind w:firstLine="708"/>
        <w:jc w:val="both"/>
      </w:pPr>
    </w:p>
    <w:p w:rsidR="00A42D33" w:rsidRDefault="00A42D33" w:rsidP="00A42D33"/>
    <w:p w:rsidR="00A42D33" w:rsidRDefault="00A42D33" w:rsidP="00A42D33"/>
    <w:p w:rsidR="00A42D33" w:rsidRPr="008561E1" w:rsidRDefault="00A42D33" w:rsidP="00A42D33">
      <w:pPr>
        <w:spacing w:line="360" w:lineRule="auto"/>
        <w:ind w:left="3540"/>
        <w:jc w:val="center"/>
      </w:pPr>
      <w:r w:rsidRPr="008561E1">
        <w:t>Kierownik Działu Dydaktycznego</w:t>
      </w:r>
      <w:r w:rsidRPr="008561E1">
        <w:br/>
        <w:t>Ośrodka Aplikacji Prokuratorskiej</w:t>
      </w:r>
      <w:r w:rsidRPr="008561E1">
        <w:br/>
        <w:t>Krajowej Szkoły Sądownictwa i Prokuratury</w:t>
      </w:r>
    </w:p>
    <w:p w:rsidR="00A42D33" w:rsidRPr="008561E1" w:rsidRDefault="00A42D33" w:rsidP="00A42D33">
      <w:pPr>
        <w:spacing w:line="360" w:lineRule="auto"/>
        <w:ind w:left="3540"/>
        <w:jc w:val="center"/>
      </w:pPr>
    </w:p>
    <w:p w:rsidR="00A42D33" w:rsidRPr="008561E1" w:rsidRDefault="00A42D33" w:rsidP="00A42D33">
      <w:pPr>
        <w:spacing w:line="360" w:lineRule="auto"/>
        <w:ind w:left="3538"/>
        <w:jc w:val="center"/>
      </w:pPr>
      <w:r w:rsidRPr="008561E1">
        <w:t>Marta Zin</w:t>
      </w:r>
    </w:p>
    <w:p w:rsidR="00A42D33" w:rsidRPr="008561E1" w:rsidRDefault="00A42D33" w:rsidP="00A42D33">
      <w:pPr>
        <w:spacing w:line="360" w:lineRule="auto"/>
        <w:ind w:left="3540"/>
        <w:jc w:val="center"/>
      </w:pPr>
      <w:r>
        <w:t>p</w:t>
      </w:r>
      <w:r w:rsidRPr="008561E1">
        <w:t xml:space="preserve">rokurator  </w:t>
      </w:r>
    </w:p>
    <w:p w:rsidR="00A42D33" w:rsidRPr="008561E1" w:rsidRDefault="00A42D33" w:rsidP="00A42D33">
      <w:pPr>
        <w:spacing w:line="360" w:lineRule="auto"/>
        <w:ind w:left="3540"/>
        <w:jc w:val="center"/>
      </w:pPr>
    </w:p>
    <w:p w:rsidR="00780999" w:rsidRDefault="00780999"/>
    <w:sectPr w:rsidR="00780999" w:rsidSect="00AE33FA">
      <w:headerReference w:type="default" r:id="rId8"/>
      <w:footerReference w:type="default" r:id="rId9"/>
      <w:headerReference w:type="first" r:id="rId10"/>
      <w:footerReference w:type="first" r:id="rId11"/>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38C" w:rsidRDefault="00EA138C">
      <w:r>
        <w:separator/>
      </w:r>
    </w:p>
  </w:endnote>
  <w:endnote w:type="continuationSeparator" w:id="0">
    <w:p w:rsidR="00EA138C" w:rsidRDefault="00EA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Shruti">
    <w:panose1 w:val="020B0502040204020203"/>
    <w:charset w:val="01"/>
    <w:family w:val="roman"/>
    <w:notTrueType/>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971BEA">
    <w:pPr>
      <w:pStyle w:val="Stopka"/>
    </w:pPr>
    <w:r>
      <w:fldChar w:fldCharType="begin"/>
    </w:r>
    <w:r>
      <w:instrText xml:space="preserve"> PAGE   \* MERGEFORMAT </w:instrText>
    </w:r>
    <w:r>
      <w:fldChar w:fldCharType="separate"/>
    </w:r>
    <w:r w:rsidR="00F721ED">
      <w:rPr>
        <w:noProof/>
      </w:rPr>
      <w:t>5</w:t>
    </w:r>
    <w:r>
      <w:rPr>
        <w:noProof/>
      </w:rPr>
      <w:fldChar w:fldCharType="end"/>
    </w:r>
  </w:p>
  <w:p w:rsidR="00AE33FA" w:rsidRDefault="00EA13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AE33FA" w:rsidTr="00AE33FA">
      <w:trPr>
        <w:trHeight w:val="23"/>
      </w:trPr>
      <w:tc>
        <w:tcPr>
          <w:tcW w:w="5099" w:type="dxa"/>
          <w:tcBorders>
            <w:top w:val="thinThickSmallGap" w:sz="12" w:space="0" w:color="auto"/>
          </w:tcBorders>
        </w:tcPr>
        <w:p w:rsidR="00AE33FA" w:rsidRPr="0074505E" w:rsidRDefault="00EA138C" w:rsidP="00AE33FA">
          <w:pPr>
            <w:pStyle w:val="Stopka"/>
            <w:jc w:val="left"/>
            <w:rPr>
              <w:sz w:val="4"/>
              <w:szCs w:val="4"/>
            </w:rPr>
          </w:pPr>
        </w:p>
      </w:tc>
    </w:tr>
  </w:tbl>
  <w:p w:rsidR="00AE33FA" w:rsidRPr="00A944C8" w:rsidRDefault="00971BEA" w:rsidP="00AE33FA">
    <w:pPr>
      <w:pStyle w:val="Stopka"/>
      <w:rPr>
        <w:sz w:val="18"/>
        <w:szCs w:val="18"/>
      </w:rPr>
    </w:pPr>
    <w:r w:rsidRPr="00A944C8">
      <w:rPr>
        <w:sz w:val="18"/>
        <w:szCs w:val="18"/>
      </w:rPr>
      <w:t>Krajowa Szkoła Sądownictwa i Prokuratury</w:t>
    </w:r>
  </w:p>
  <w:p w:rsidR="00AE33FA" w:rsidRPr="00A944C8" w:rsidRDefault="00971BEA" w:rsidP="00AE33FA">
    <w:pPr>
      <w:pStyle w:val="Stopka"/>
      <w:rPr>
        <w:sz w:val="18"/>
        <w:szCs w:val="18"/>
      </w:rPr>
    </w:pPr>
    <w:r w:rsidRPr="00A944C8">
      <w:rPr>
        <w:sz w:val="18"/>
        <w:szCs w:val="18"/>
      </w:rPr>
      <w:t>ul. Przy Rondzie 5, 31-547 Kraków</w:t>
    </w:r>
  </w:p>
  <w:p w:rsidR="00AE33FA" w:rsidRDefault="00EA138C" w:rsidP="00AE33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38C" w:rsidRDefault="00EA138C">
      <w:r>
        <w:separator/>
      </w:r>
    </w:p>
  </w:footnote>
  <w:footnote w:type="continuationSeparator" w:id="0">
    <w:p w:rsidR="00EA138C" w:rsidRDefault="00EA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Pr="009B38B3" w:rsidRDefault="00971BEA" w:rsidP="00AE33FA">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FA" w:rsidRDefault="00971BEA" w:rsidP="00AE33FA">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14:anchorId="52F251DB" wp14:editId="353B2270">
          <wp:simplePos x="0" y="0"/>
          <wp:positionH relativeFrom="column">
            <wp:posOffset>621665</wp:posOffset>
          </wp:positionH>
          <wp:positionV relativeFrom="paragraph">
            <wp:posOffset>-42545</wp:posOffset>
          </wp:positionV>
          <wp:extent cx="501015" cy="476885"/>
          <wp:effectExtent l="0" t="0" r="0" b="0"/>
          <wp:wrapNone/>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AE33FA" w:rsidRDefault="00EA138C" w:rsidP="00AE33FA">
    <w:pPr>
      <w:pStyle w:val="Nagwek"/>
      <w:ind w:right="4959"/>
      <w:jc w:val="center"/>
      <w:rPr>
        <w:b/>
      </w:rPr>
    </w:pPr>
  </w:p>
  <w:p w:rsidR="00AE33FA" w:rsidRPr="009E7ADE" w:rsidRDefault="00EA138C" w:rsidP="00AE33FA">
    <w:pPr>
      <w:pStyle w:val="Nagwek"/>
      <w:ind w:left="-851" w:right="5526"/>
      <w:jc w:val="center"/>
      <w:rPr>
        <w:b/>
        <w:sz w:val="8"/>
        <w:szCs w:val="8"/>
      </w:rPr>
    </w:pPr>
  </w:p>
  <w:p w:rsidR="00AE33FA" w:rsidRPr="00551ABF" w:rsidRDefault="00971BEA" w:rsidP="00AE33FA">
    <w:pPr>
      <w:pStyle w:val="Nagwek"/>
      <w:ind w:left="-851" w:right="5526"/>
      <w:jc w:val="center"/>
      <w:rPr>
        <w:b/>
      </w:rPr>
    </w:pPr>
    <w:r w:rsidRPr="00551ABF">
      <w:rPr>
        <w:b/>
      </w:rPr>
      <w:t>KRAJOW</w:t>
    </w:r>
    <w:r>
      <w:rPr>
        <w:b/>
      </w:rPr>
      <w:t>A</w:t>
    </w:r>
    <w:r w:rsidRPr="00551ABF">
      <w:rPr>
        <w:b/>
      </w:rPr>
      <w:t xml:space="preserve"> SZKOŁ</w:t>
    </w:r>
    <w:r>
      <w:rPr>
        <w:b/>
      </w:rPr>
      <w:t>A</w:t>
    </w:r>
  </w:p>
  <w:p w:rsidR="00AE33FA" w:rsidRPr="00D021CB" w:rsidRDefault="00971BEA" w:rsidP="00AE33FA">
    <w:pPr>
      <w:pStyle w:val="Nagwek"/>
      <w:ind w:left="-851" w:right="5526"/>
      <w:jc w:val="center"/>
      <w:rPr>
        <w:b/>
      </w:rPr>
    </w:pPr>
    <w:r w:rsidRPr="00D021CB">
      <w:rPr>
        <w:b/>
      </w:rPr>
      <w:t>SĄDOWNICTWA I PROKURATURY</w:t>
    </w:r>
  </w:p>
  <w:p w:rsidR="00AE33FA" w:rsidRPr="004F17DC" w:rsidRDefault="00EA138C" w:rsidP="00AE33FA">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49E9"/>
    <w:multiLevelType w:val="hybridMultilevel"/>
    <w:tmpl w:val="C5B2C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FF7FAD"/>
    <w:multiLevelType w:val="hybridMultilevel"/>
    <w:tmpl w:val="5088F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5C2271"/>
    <w:multiLevelType w:val="hybridMultilevel"/>
    <w:tmpl w:val="8A3206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CFD11C8"/>
    <w:multiLevelType w:val="hybridMultilevel"/>
    <w:tmpl w:val="C6344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47F2C2D"/>
    <w:multiLevelType w:val="hybridMultilevel"/>
    <w:tmpl w:val="F1864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33"/>
    <w:rsid w:val="00143CC4"/>
    <w:rsid w:val="00206AB8"/>
    <w:rsid w:val="002125F3"/>
    <w:rsid w:val="002B25D4"/>
    <w:rsid w:val="003F6A29"/>
    <w:rsid w:val="00450CEA"/>
    <w:rsid w:val="00780999"/>
    <w:rsid w:val="008C1DDC"/>
    <w:rsid w:val="00922121"/>
    <w:rsid w:val="00971BEA"/>
    <w:rsid w:val="009A057D"/>
    <w:rsid w:val="009D0262"/>
    <w:rsid w:val="00A42D33"/>
    <w:rsid w:val="00B56ABA"/>
    <w:rsid w:val="00BE3CBF"/>
    <w:rsid w:val="00EA138C"/>
    <w:rsid w:val="00F721ED"/>
    <w:rsid w:val="00F92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D3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42D33"/>
    <w:pPr>
      <w:tabs>
        <w:tab w:val="center" w:pos="4536"/>
        <w:tab w:val="right" w:pos="9072"/>
      </w:tabs>
    </w:pPr>
  </w:style>
  <w:style w:type="character" w:customStyle="1" w:styleId="NagwekZnak">
    <w:name w:val="Nagłówek Znak"/>
    <w:basedOn w:val="Domylnaczcionkaakapitu"/>
    <w:link w:val="Nagwek"/>
    <w:rsid w:val="00A42D33"/>
    <w:rPr>
      <w:rFonts w:ascii="Times New Roman" w:eastAsia="Times New Roman" w:hAnsi="Times New Roman" w:cs="Times New Roman"/>
      <w:sz w:val="24"/>
      <w:szCs w:val="24"/>
      <w:lang w:eastAsia="pl-PL"/>
    </w:rPr>
  </w:style>
  <w:style w:type="paragraph" w:styleId="Stopka">
    <w:name w:val="footer"/>
    <w:basedOn w:val="Normalny"/>
    <w:link w:val="StopkaZnak"/>
    <w:rsid w:val="00A42D33"/>
    <w:pPr>
      <w:tabs>
        <w:tab w:val="center" w:pos="4536"/>
        <w:tab w:val="right" w:pos="9072"/>
      </w:tabs>
      <w:jc w:val="center"/>
    </w:pPr>
    <w:rPr>
      <w:sz w:val="20"/>
      <w:szCs w:val="20"/>
    </w:rPr>
  </w:style>
  <w:style w:type="character" w:customStyle="1" w:styleId="StopkaZnak">
    <w:name w:val="Stopka Znak"/>
    <w:basedOn w:val="Domylnaczcionkaakapitu"/>
    <w:link w:val="Stopka"/>
    <w:rsid w:val="00A42D3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42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2D3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A42D33"/>
    <w:pPr>
      <w:tabs>
        <w:tab w:val="center" w:pos="4536"/>
        <w:tab w:val="right" w:pos="9072"/>
      </w:tabs>
    </w:pPr>
  </w:style>
  <w:style w:type="character" w:customStyle="1" w:styleId="NagwekZnak">
    <w:name w:val="Nagłówek Znak"/>
    <w:basedOn w:val="Domylnaczcionkaakapitu"/>
    <w:link w:val="Nagwek"/>
    <w:rsid w:val="00A42D33"/>
    <w:rPr>
      <w:rFonts w:ascii="Times New Roman" w:eastAsia="Times New Roman" w:hAnsi="Times New Roman" w:cs="Times New Roman"/>
      <w:sz w:val="24"/>
      <w:szCs w:val="24"/>
      <w:lang w:eastAsia="pl-PL"/>
    </w:rPr>
  </w:style>
  <w:style w:type="paragraph" w:styleId="Stopka">
    <w:name w:val="footer"/>
    <w:basedOn w:val="Normalny"/>
    <w:link w:val="StopkaZnak"/>
    <w:rsid w:val="00A42D33"/>
    <w:pPr>
      <w:tabs>
        <w:tab w:val="center" w:pos="4536"/>
        <w:tab w:val="right" w:pos="9072"/>
      </w:tabs>
      <w:jc w:val="center"/>
    </w:pPr>
    <w:rPr>
      <w:sz w:val="20"/>
      <w:szCs w:val="20"/>
    </w:rPr>
  </w:style>
  <w:style w:type="character" w:customStyle="1" w:styleId="StopkaZnak">
    <w:name w:val="Stopka Znak"/>
    <w:basedOn w:val="Domylnaczcionkaakapitu"/>
    <w:link w:val="Stopka"/>
    <w:rsid w:val="00A42D3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A42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5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7912</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Joanna Matuszek</cp:lastModifiedBy>
  <cp:revision>2</cp:revision>
  <dcterms:created xsi:type="dcterms:W3CDTF">2021-03-19T12:42:00Z</dcterms:created>
  <dcterms:modified xsi:type="dcterms:W3CDTF">2021-03-19T12:42:00Z</dcterms:modified>
</cp:coreProperties>
</file>