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C" w:rsidRDefault="00AB4C3C" w:rsidP="00AB4C3C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C3C" w:rsidRDefault="00AB4C3C" w:rsidP="00AB4C3C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4B1D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Kraków, dnia  8 lutego 2021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AB4C3C" w:rsidRDefault="00AB4C3C" w:rsidP="00AB4C3C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C3C" w:rsidRDefault="004B1DE7" w:rsidP="00AB4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OAP-II.420.43.2020</w:t>
      </w:r>
    </w:p>
    <w:p w:rsidR="00AB4C3C" w:rsidRDefault="00AB4C3C" w:rsidP="00AB4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C3C" w:rsidRDefault="00AB4C3C" w:rsidP="00AB4C3C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AB4C3C" w:rsidRDefault="00AB4C3C" w:rsidP="00AB4C3C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AB4C3C" w:rsidRDefault="00AB4C3C" w:rsidP="00AB4C3C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AB4C3C" w:rsidRDefault="00AB4C3C" w:rsidP="00AB4C3C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4C3C" w:rsidRDefault="00AB4C3C" w:rsidP="00AB4C3C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B4C3C" w:rsidRDefault="00AB4C3C" w:rsidP="00AB4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</w:t>
      </w:r>
      <w:r w:rsidR="00BB5E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tów aplikacji prokuratorskiej 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rocznika po XXIII zjeździe</w:t>
      </w:r>
    </w:p>
    <w:p w:rsidR="00AB4C3C" w:rsidRDefault="00AB4C3C" w:rsidP="00AB4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4C3C" w:rsidRDefault="00AB4C3C" w:rsidP="00AB4C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Prokuratury w Krakowie Nr 132/2019 z dnia 15 marca 2019 roku w sprawie szczegółowych zasad odbywania praktyki przez apl</w:t>
      </w:r>
      <w:r w:rsidR="004B1DE7">
        <w:rPr>
          <w:rFonts w:ascii="Times New Roman" w:eastAsia="Times New Roman" w:hAnsi="Times New Roman" w:cs="Times New Roman"/>
          <w:sz w:val="24"/>
          <w:szCs w:val="24"/>
          <w:lang w:eastAsia="zh-CN"/>
        </w:rPr>
        <w:t>ikantów aplikacji sędziowskiej i prokuratorskiej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uprzejmie przedstawiam szczegółowy zakres tematyczny, który powinien być przedmiotem praktyk aplikantów aplikacji prokuratorskiej,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odbywanych w:  </w:t>
      </w:r>
      <w:r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prokuraturach okręgowych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 prokuratorów wykonujących zadania z zakresu prawa cywil</w:t>
      </w:r>
      <w:r w:rsidR="004B1DE7">
        <w:rPr>
          <w:rFonts w:ascii="Times New Roman" w:eastAsia="Times New Roman" w:hAnsi="Times New Roman" w:cs="Times New Roman"/>
          <w:sz w:val="24"/>
          <w:szCs w:val="24"/>
          <w:lang w:eastAsia="pl-PL"/>
        </w:rPr>
        <w:t>nego (</w:t>
      </w:r>
      <w:r w:rsidR="004B1DE7"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22 marca do 2 kwietnia 2021</w:t>
      </w:r>
      <w:r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sądach okręgowych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</w:t>
      </w:r>
      <w:r w:rsidR="004B1DE7">
        <w:rPr>
          <w:rFonts w:ascii="Times New Roman" w:eastAsia="Times New Roman" w:hAnsi="Times New Roman" w:cs="Times New Roman"/>
          <w:sz w:val="24"/>
          <w:szCs w:val="24"/>
          <w:lang w:eastAsia="pl-PL"/>
        </w:rPr>
        <w:t>iałach cywilnych (</w:t>
      </w:r>
      <w:r w:rsidR="004B1DE7"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6 do 16 kwietnia 2021</w:t>
      </w:r>
      <w:r w:rsidRPr="004B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B4C3C" w:rsidRDefault="00AB4C3C" w:rsidP="00AB4C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AB4C3C" w:rsidRDefault="00AB4C3C" w:rsidP="00AB4C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XXIII zjazdu aplikacji prokuratorskiej </w:t>
      </w:r>
      <w:r w:rsidR="004B1DE7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 się w dniach 15-19 marca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są następujące zagadnienia:</w:t>
      </w:r>
    </w:p>
    <w:p w:rsidR="00AB4C3C" w:rsidRDefault="00AB4C3C" w:rsidP="00AB4C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Udział prokuratora w postępowaniu nieprocesowym (c.d.). Ubezwłasnowolnienie </w:t>
      </w: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ubezwłasnowolnienia: ustawowe i procesowe. Osoby uprawnione do zgłoszenia wniosku a uczestnicy postępowania o ubezwłasnowolnienie. Podstawy formalno-prawne uzasadniające wszczęcie przez prokuratora postępowania o  ubezwłasnowolnienie (w tym obostrzenia przewidziane w Regulaminie wewnętrznego urzędowania powszechnych jednostek organizacyjnych prokuratury). Czynności wyjaśniające podejmowane przez prokuratora. Podstawy prawne odstąpienia prokuratora od skierowania wniosku o ubezwłasnowolnienie. Wniosek prokuratora o całkowite i częściowe ubezwłasnowolnienie. Żądania wniosku, w tym żądanie ustanowienia doradcy tymczasowego.</w:t>
      </w:r>
    </w:p>
    <w:p w:rsidR="004B1DE7" w:rsidRDefault="004B1DE7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C3C" w:rsidRDefault="00AB4C3C" w:rsidP="00AB4C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Wybrane zagadnienia prawa materialnego i procesowego dotyczące udziału prokuratora w niektórych postępowaniach cywilnych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(prowadzi sędzia)</w:t>
      </w:r>
    </w:p>
    <w:p w:rsidR="00AB4C3C" w:rsidRDefault="00AB4C3C" w:rsidP="00AB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sprawach o ubezwłasnowolnienie. Doradca tymczasowy.</w:t>
      </w: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zasady dziedziczenia, rodzaje testamentów, stwierdzenie nabycia spadku i poświadczenie dziedziczenia, uchylenie lub zmiana postanowienia o stwierdzeniu nabycia spadku i aktu poświadczenia dziedziczenia.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Udział prokuratora w postępowaniu spadkowym ze szczególnym uwzględnieniem postępowania w trybie art. 679 k.p.c. i wznowienia postępowania spadkowego.</w:t>
      </w: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Roszczenia pracownicze o przywrócenie do pracy lub odszkodowanie; wynagrodzenie pracownicze, zwrot zasiłku chorobowego na podstawie ustawy o świadczeniach pieniężnych z ubezpieczenia społecznego w razie choroby i macierzyństwa.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Udział prokuratora w postępowaniu  w sprawach pracowniczych.</w:t>
      </w:r>
    </w:p>
    <w:p w:rsidR="00AB4C3C" w:rsidRDefault="00AB4C3C" w:rsidP="00AB4C3C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prokuratora w postępowaniu egzekucyjnym: przepisy ogólne, tytuły egzekucyjne, klauzula wykonalności, wszczęcie egzekucji, ograniczenia egzekucji, powództwo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przeciwegzekucyjne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B4C3C" w:rsidRDefault="00AB4C3C" w:rsidP="00AB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na czynności komornika i nadzór sądu nad postępowaniem egzekucyjnym.</w:t>
      </w:r>
    </w:p>
    <w:p w:rsidR="00AB4C3C" w:rsidRDefault="00AB4C3C" w:rsidP="00AB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B4C3C" w:rsidRDefault="00BB5EEB" w:rsidP="00AB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X</w:t>
      </w:r>
      <w:r w:rsidR="00AB4C3C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 aplikacji prokuratorskiej po XXIII zjeździe odbywanych </w:t>
      </w:r>
      <w:r w:rsidR="00AB4C3C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prokuraturach okręgowych (u prokuratorów wykonujący zadania </w:t>
      </w:r>
      <w:r w:rsidR="00AB4C3C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  <w:t>z zakresu prawa cywilnego)</w:t>
      </w:r>
      <w:r w:rsidR="00AB4C3C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 </w:t>
      </w:r>
      <w:r w:rsidR="00AB4C3C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utrwalenie umiejętności sporządzania pism procesowych w sprawach o ubezwłasnowolnienie oraz zapoznanie z metodyką prowadzenia postępowań w tej kategorii spraw.</w:t>
      </w:r>
    </w:p>
    <w:p w:rsidR="00AB4C3C" w:rsidRDefault="00AB4C3C" w:rsidP="00AB4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AB4C3C" w:rsidRDefault="00AB4C3C" w:rsidP="00AB4C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AB4C3C" w:rsidRDefault="00AB4C3C" w:rsidP="00AB4C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odmiennościami postępowania nieprocesowego w stosunku do postępowania procesowego (art. 506-525 k.p.c.);</w:t>
      </w:r>
    </w:p>
    <w:p w:rsidR="00AB4C3C" w:rsidRDefault="00AB4C3C" w:rsidP="00AB4C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postępowań o ubezwłasnowolnienie, w tym przesłanek ubezwłasnowolnienia, podstaw formalno - prawnych uzasadniających wszczęcie przez prokuratora postępowania o ubezwłasnowolnienie, czynności wyjaśniających podejmowanych przez prokuratora</w:t>
      </w:r>
    </w:p>
    <w:p w:rsidR="00AB4C3C" w:rsidRDefault="00AB4C3C" w:rsidP="00AB4C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rolą prokuratora oraz  z zasadami gromadzenia i oceny materiału dowodowego w sprawach o ubezwłasnowolnienie, </w:t>
      </w:r>
    </w:p>
    <w:p w:rsidR="00AB4C3C" w:rsidRDefault="00AB4C3C" w:rsidP="00AB4C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wniosków o całkowite lub częściowe ubezwłasnowolnienie, w tym zawierających żądanie ustanowienia doradcy tymczasowego,</w:t>
      </w:r>
    </w:p>
    <w:p w:rsidR="00AB4C3C" w:rsidRDefault="00AB4C3C" w:rsidP="00AB4C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pism odmawiających zainicjowanie postępowań sądowych w sprawach o ubezwłasnowolnienie.</w:t>
      </w:r>
    </w:p>
    <w:p w:rsidR="00AB4C3C" w:rsidRDefault="00AB4C3C" w:rsidP="00AB4C3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4C3C" w:rsidRDefault="004B1DE7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10</w:t>
      </w:r>
      <w:r w:rsidR="00AB4C3C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rocznika aplikacji prokuratorskiej po XXIII zjeździe odbywanych </w:t>
      </w:r>
      <w:r w:rsidR="00AB4C3C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sądach okręgowych – wydziałach cywilnych</w:t>
      </w:r>
      <w:r w:rsidR="00AB4C3C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 jest</w:t>
      </w:r>
      <w:r w:rsidR="00AB4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zaznajomienie aplikantów z czynnościami i me</w:t>
      </w:r>
      <w:r w:rsidR="009D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todyką pracy sędziego </w:t>
      </w:r>
      <w:r w:rsidR="00AB4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ugruntowania wiedzy zdobytej podczas zjazdu, w szczególności poświęcając szczególn</w:t>
      </w:r>
      <w:r w:rsidR="009D1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poprzez udział aplikantów </w:t>
      </w:r>
      <w:r w:rsidR="00BB5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9D19C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 ubezwłasnowolnienie oraz sporządzanie uzasadnień w takich sprawach.</w:t>
      </w:r>
    </w:p>
    <w:p w:rsidR="00AB4C3C" w:rsidRDefault="00AB4C3C" w:rsidP="00AB4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praktyk szczególny nacisk należy położyć na:</w:t>
      </w:r>
    </w:p>
    <w:p w:rsidR="00AB4C3C" w:rsidRDefault="00AB4C3C" w:rsidP="00AB4C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aplikantów w posiedzeniach sądu okręgowego dotyczących rozpatrywania wniosków o ubezwłasnowolnienie całkowite lub częściowe, w szczególności na etapie przeprowadzania postepowania dowodowego (w tym przesłuchania biegłego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wysłuchania osoby podlegającej ubezwłasnowolnieniu)</w:t>
      </w:r>
    </w:p>
    <w:p w:rsidR="00AB4C3C" w:rsidRDefault="00AB4C3C" w:rsidP="00AB4C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aktami spraw o ubezwłasnowolnienie</w:t>
      </w:r>
    </w:p>
    <w:p w:rsidR="00AB4C3C" w:rsidRDefault="00AB4C3C" w:rsidP="00AB4C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projektów postanowień dowodowych w sprawach o ubezwłasnowolnienie całkowite i częściowe w tym postanowień w przedmiocie ustanawianie doradcy tymczasowego</w:t>
      </w:r>
    </w:p>
    <w:p w:rsidR="00AB4C3C" w:rsidRDefault="00AB4C3C" w:rsidP="00AB4C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sporządzanie projektów uzasadnień orzeczeń merytorycznych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ubezwłasnowolnienie.</w:t>
      </w:r>
    </w:p>
    <w:p w:rsidR="00AB4C3C" w:rsidRDefault="00AB4C3C" w:rsidP="00AB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C3C" w:rsidRDefault="00AB4C3C" w:rsidP="00AB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pozwolą na prawidłowe sporządzanie uzasadnień rozstrzygnięć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ubezwłasnowolnienie.</w:t>
      </w:r>
    </w:p>
    <w:p w:rsidR="00AB4C3C" w:rsidRDefault="00AB4C3C" w:rsidP="00AB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C3C" w:rsidRDefault="00AB4C3C" w:rsidP="00AB4C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wniosków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ubezwłasnowolnienie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:rsidR="00AB4C3C" w:rsidRDefault="00AB4C3C" w:rsidP="00AB4C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C3C" w:rsidRDefault="00AB4C3C" w:rsidP="00AB4C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informuję, że przedmiotem sprawdzianu wiedzy, który aplikanci będą pisać po odbyciu praktyk </w:t>
      </w:r>
      <w:r w:rsidR="009D19CA" w:rsidRPr="009D1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XXIII zjeździe, tj. w dniu 19 kwietnia 2021</w:t>
      </w:r>
      <w:r w:rsidRPr="009D1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będzie sporządzenie projektu wniosku o ubezwłasnowolnienie lub pisma odmawiającego zainicjowania postępowania sądowego w sprawie o ubezwłasnowolnienie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AB4C3C" w:rsidRDefault="00AB4C3C" w:rsidP="00AB4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C3C" w:rsidRDefault="00AB4C3C" w:rsidP="00AB4C3C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AB4C3C" w:rsidRDefault="00AB4C3C" w:rsidP="00AB4C3C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AB4C3C" w:rsidRDefault="00AB4C3C" w:rsidP="00AB4C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4C3C" w:rsidRDefault="00AB4C3C" w:rsidP="00AB4C3C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AB4C3C" w:rsidRDefault="009D19CA" w:rsidP="00AB4C3C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AB4C3C">
        <w:rPr>
          <w:rFonts w:ascii="Times New Roman" w:eastAsia="Times New Roman" w:hAnsi="Times New Roman" w:cs="Times New Roman"/>
          <w:sz w:val="24"/>
          <w:szCs w:val="24"/>
          <w:lang w:eastAsia="zh-CN"/>
        </w:rPr>
        <w:t>prokurator</w:t>
      </w:r>
    </w:p>
    <w:p w:rsidR="000B4076" w:rsidRDefault="000B4076"/>
    <w:sectPr w:rsidR="000B407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9" w:rsidRDefault="00983FE9">
      <w:pPr>
        <w:spacing w:after="0" w:line="240" w:lineRule="auto"/>
      </w:pPr>
      <w:r>
        <w:separator/>
      </w:r>
    </w:p>
  </w:endnote>
  <w:endnote w:type="continuationSeparator" w:id="0">
    <w:p w:rsidR="00983FE9" w:rsidRDefault="0098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B5EEB">
      <w:rPr>
        <w:noProof/>
      </w:rPr>
      <w:t>3</w:t>
    </w:r>
    <w:r>
      <w:rPr>
        <w:noProof/>
      </w:rPr>
      <w:fldChar w:fldCharType="end"/>
    </w:r>
  </w:p>
  <w:p w:rsidR="001B510F" w:rsidRDefault="00983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983FE9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983FE9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9" w:rsidRDefault="00983FE9">
      <w:pPr>
        <w:spacing w:after="0" w:line="240" w:lineRule="auto"/>
      </w:pPr>
      <w:r>
        <w:separator/>
      </w:r>
    </w:p>
  </w:footnote>
  <w:footnote w:type="continuationSeparator" w:id="0">
    <w:p w:rsidR="00983FE9" w:rsidRDefault="0098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983FE9" w:rsidP="003D147B">
    <w:pPr>
      <w:pStyle w:val="Nagwek"/>
      <w:ind w:right="4959"/>
      <w:jc w:val="center"/>
      <w:rPr>
        <w:b/>
      </w:rPr>
    </w:pPr>
  </w:p>
  <w:p w:rsidR="001B510F" w:rsidRPr="009E7ADE" w:rsidRDefault="00983FE9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983FE9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313D8C"/>
    <w:rsid w:val="00435CDB"/>
    <w:rsid w:val="00463181"/>
    <w:rsid w:val="004B1DE7"/>
    <w:rsid w:val="0059432F"/>
    <w:rsid w:val="005C1373"/>
    <w:rsid w:val="00983FE9"/>
    <w:rsid w:val="009D19CA"/>
    <w:rsid w:val="00A2542D"/>
    <w:rsid w:val="00AB4C3C"/>
    <w:rsid w:val="00BB5EEB"/>
    <w:rsid w:val="00E43BEE"/>
    <w:rsid w:val="00EB5CE1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AB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AB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2021-02-15T07:24:00Z</dcterms:created>
  <dcterms:modified xsi:type="dcterms:W3CDTF">2021-03-01T12:09:00Z</dcterms:modified>
</cp:coreProperties>
</file>