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8C" w:rsidRDefault="007C3A8C" w:rsidP="007C3A8C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06A7905" wp14:editId="1FB1A1FD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20"/>
        </w:rPr>
        <w:t xml:space="preserve"> </w:t>
      </w:r>
    </w:p>
    <w:p w:rsidR="007C3A8C" w:rsidRDefault="007C3A8C" w:rsidP="007C3A8C">
      <w:pPr>
        <w:pStyle w:val="Nagwek"/>
        <w:ind w:right="4959"/>
        <w:jc w:val="center"/>
        <w:rPr>
          <w:b/>
        </w:rPr>
      </w:pPr>
    </w:p>
    <w:p w:rsidR="007C3A8C" w:rsidRDefault="007C3A8C" w:rsidP="007C3A8C">
      <w:pPr>
        <w:pStyle w:val="Nagwek"/>
        <w:ind w:left="-851" w:right="5526"/>
        <w:jc w:val="center"/>
        <w:rPr>
          <w:b/>
        </w:rPr>
      </w:pPr>
    </w:p>
    <w:p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>KRAJOWA SZKOŁA</w:t>
      </w:r>
    </w:p>
    <w:p w:rsidR="007C3A8C" w:rsidRDefault="007C3A8C" w:rsidP="007C3A8C">
      <w:pPr>
        <w:pStyle w:val="Nagwek"/>
        <w:ind w:left="-851" w:right="5526"/>
        <w:jc w:val="center"/>
        <w:rPr>
          <w:b/>
        </w:rPr>
      </w:pPr>
      <w:r>
        <w:rPr>
          <w:b/>
        </w:rPr>
        <w:t xml:space="preserve"> SĄDOWNICTWA I PROKURATURY</w:t>
      </w:r>
    </w:p>
    <w:p w:rsidR="007C3A8C" w:rsidRDefault="007C3A8C" w:rsidP="007C3A8C">
      <w:pPr>
        <w:pStyle w:val="Nagwek"/>
        <w:ind w:right="4392" w:hanging="283"/>
        <w:rPr>
          <w:b/>
        </w:rPr>
      </w:pPr>
    </w:p>
    <w:p w:rsidR="007C3A8C" w:rsidRDefault="00877AC5" w:rsidP="007C3A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Kraków, dnia </w:t>
      </w:r>
      <w:r w:rsidR="007F2690">
        <w:rPr>
          <w:rFonts w:ascii="Times New Roman" w:hAnsi="Times New Roman"/>
          <w:sz w:val="24"/>
          <w:szCs w:val="24"/>
        </w:rPr>
        <w:t xml:space="preserve">28 </w:t>
      </w:r>
      <w:r w:rsidR="00597683">
        <w:rPr>
          <w:rFonts w:ascii="Times New Roman" w:hAnsi="Times New Roman"/>
          <w:sz w:val="24"/>
          <w:szCs w:val="24"/>
        </w:rPr>
        <w:t xml:space="preserve">stycznia </w:t>
      </w:r>
      <w:r w:rsidR="007C3A8C">
        <w:rPr>
          <w:rFonts w:ascii="Times New Roman" w:hAnsi="Times New Roman"/>
          <w:sz w:val="24"/>
          <w:szCs w:val="24"/>
        </w:rPr>
        <w:t>202</w:t>
      </w:r>
      <w:r w:rsidR="00597683">
        <w:rPr>
          <w:rFonts w:ascii="Times New Roman" w:hAnsi="Times New Roman"/>
          <w:sz w:val="24"/>
          <w:szCs w:val="24"/>
        </w:rPr>
        <w:t>1</w:t>
      </w:r>
      <w:r w:rsidR="007C3A8C">
        <w:rPr>
          <w:rFonts w:ascii="Times New Roman" w:hAnsi="Times New Roman"/>
          <w:sz w:val="24"/>
          <w:szCs w:val="24"/>
        </w:rPr>
        <w:t xml:space="preserve"> roku.</w:t>
      </w:r>
    </w:p>
    <w:p w:rsidR="007C3A8C" w:rsidRPr="00B6372B" w:rsidRDefault="007C3A8C" w:rsidP="007C3A8C">
      <w:pPr>
        <w:jc w:val="both"/>
        <w:rPr>
          <w:rFonts w:ascii="Times New Roman" w:hAnsi="Times New Roman"/>
          <w:b/>
          <w:sz w:val="24"/>
          <w:szCs w:val="24"/>
        </w:rPr>
      </w:pPr>
      <w:r w:rsidRPr="00B6372B">
        <w:rPr>
          <w:rFonts w:ascii="Times New Roman" w:hAnsi="Times New Roman"/>
          <w:b/>
          <w:sz w:val="24"/>
          <w:szCs w:val="24"/>
        </w:rPr>
        <w:t>OAS-II.420.</w:t>
      </w:r>
      <w:r w:rsidR="00597683">
        <w:rPr>
          <w:rFonts w:ascii="Times New Roman" w:hAnsi="Times New Roman"/>
          <w:b/>
          <w:sz w:val="24"/>
          <w:szCs w:val="24"/>
        </w:rPr>
        <w:t>4</w:t>
      </w:r>
      <w:r w:rsidRPr="00B6372B">
        <w:rPr>
          <w:rFonts w:ascii="Times New Roman" w:hAnsi="Times New Roman"/>
          <w:b/>
          <w:sz w:val="24"/>
          <w:szCs w:val="24"/>
        </w:rPr>
        <w:t>3.20</w:t>
      </w:r>
      <w:r w:rsidR="00597683">
        <w:rPr>
          <w:rFonts w:ascii="Times New Roman" w:hAnsi="Times New Roman"/>
          <w:b/>
          <w:sz w:val="24"/>
          <w:szCs w:val="24"/>
        </w:rPr>
        <w:t>20</w:t>
      </w:r>
      <w:r w:rsidRPr="00B6372B">
        <w:rPr>
          <w:rFonts w:ascii="Times New Roman" w:hAnsi="Times New Roman"/>
          <w:b/>
          <w:sz w:val="24"/>
          <w:szCs w:val="24"/>
        </w:rPr>
        <w:t xml:space="preserve"> </w:t>
      </w:r>
    </w:p>
    <w:p w:rsidR="007C3A8C" w:rsidRDefault="007C3A8C" w:rsidP="007C3A8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Dot. praktyk aplikantów </w:t>
      </w:r>
      <w:r w:rsidR="00597683">
        <w:rPr>
          <w:rFonts w:ascii="Times New Roman" w:hAnsi="Times New Roman"/>
          <w:i/>
          <w:sz w:val="24"/>
          <w:szCs w:val="24"/>
        </w:rPr>
        <w:t>10</w:t>
      </w:r>
      <w:r>
        <w:rPr>
          <w:rFonts w:ascii="Times New Roman" w:hAnsi="Times New Roman"/>
          <w:i/>
          <w:sz w:val="24"/>
          <w:szCs w:val="24"/>
        </w:rPr>
        <w:t xml:space="preserve"> rocznika aplikacji sędziowskiej po XXII zjeździe</w:t>
      </w:r>
    </w:p>
    <w:p w:rsidR="007C3A8C" w:rsidRDefault="007C3A8C" w:rsidP="007C3A8C">
      <w:pPr>
        <w:rPr>
          <w:rFonts w:ascii="Times New Roman" w:hAnsi="Times New Roman"/>
          <w:b/>
          <w:sz w:val="24"/>
          <w:szCs w:val="24"/>
        </w:rPr>
      </w:pPr>
    </w:p>
    <w:p w:rsidR="007C3A8C" w:rsidRDefault="007C3A8C" w:rsidP="007C3A8C">
      <w:pPr>
        <w:spacing w:after="12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</w:t>
      </w:r>
    </w:p>
    <w:p w:rsidR="007C3A8C" w:rsidRPr="00A43F4F" w:rsidRDefault="007C3A8C" w:rsidP="007C3A8C">
      <w:pPr>
        <w:ind w:left="495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A43F4F">
        <w:rPr>
          <w:rFonts w:ascii="Times New Roman" w:hAnsi="Times New Roman"/>
          <w:b/>
          <w:sz w:val="24"/>
          <w:szCs w:val="24"/>
        </w:rPr>
        <w:t>atronów praktyk</w:t>
      </w:r>
    </w:p>
    <w:p w:rsidR="007C3A8C" w:rsidRPr="00A43F4F" w:rsidRDefault="007C3A8C" w:rsidP="007C3A8C">
      <w:pPr>
        <w:ind w:left="4956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oraz </w:t>
      </w:r>
      <w:r>
        <w:rPr>
          <w:rFonts w:ascii="Times New Roman" w:hAnsi="Times New Roman"/>
          <w:b/>
          <w:sz w:val="24"/>
          <w:szCs w:val="24"/>
        </w:rPr>
        <w:t>p</w:t>
      </w:r>
      <w:r w:rsidRPr="00A43F4F">
        <w:rPr>
          <w:rFonts w:ascii="Times New Roman" w:hAnsi="Times New Roman"/>
          <w:b/>
          <w:sz w:val="24"/>
          <w:szCs w:val="24"/>
        </w:rPr>
        <w:t xml:space="preserve">atronów </w:t>
      </w:r>
      <w:r>
        <w:rPr>
          <w:rFonts w:ascii="Times New Roman" w:hAnsi="Times New Roman"/>
          <w:b/>
          <w:sz w:val="24"/>
          <w:szCs w:val="24"/>
        </w:rPr>
        <w:t>k</w:t>
      </w:r>
      <w:r w:rsidRPr="00A43F4F">
        <w:rPr>
          <w:rFonts w:ascii="Times New Roman" w:hAnsi="Times New Roman"/>
          <w:b/>
          <w:sz w:val="24"/>
          <w:szCs w:val="24"/>
        </w:rPr>
        <w:t>oordynatorów</w:t>
      </w:r>
    </w:p>
    <w:p w:rsidR="007C3A8C" w:rsidRDefault="007C3A8C" w:rsidP="007C3A8C">
      <w:pPr>
        <w:spacing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A43F4F">
        <w:rPr>
          <w:rFonts w:ascii="Times New Roman" w:hAnsi="Times New Roman"/>
          <w:b/>
          <w:sz w:val="24"/>
          <w:szCs w:val="24"/>
        </w:rPr>
        <w:t xml:space="preserve">aplikantów aplikacji </w:t>
      </w:r>
      <w:r>
        <w:rPr>
          <w:rFonts w:ascii="Times New Roman" w:hAnsi="Times New Roman"/>
          <w:b/>
          <w:sz w:val="24"/>
          <w:szCs w:val="24"/>
        </w:rPr>
        <w:t>sędziowskiej</w:t>
      </w:r>
    </w:p>
    <w:p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D8445D">
        <w:rPr>
          <w:rFonts w:ascii="Times New Roman" w:hAnsi="Times New Roman"/>
        </w:rPr>
        <w:t xml:space="preserve">W oparciu o § 2 zarządzenia Dyrektora Krajowej Szkoły Sądownictwa i Prokuratury w Krakowie Nr 132/2019 z dnia 15 marca 2019 roku w sprawie szczegółowych zasad odbywania praktyk przez aplikantów aplikacji sędziowskiej i prokuratorskiej uprzejmie przedstawiam szczegółowy zakres tematyczny, który winien być przedmiotem praktyk aplikantów </w:t>
      </w:r>
      <w:r w:rsidR="00597683">
        <w:rPr>
          <w:rFonts w:ascii="Times New Roman" w:hAnsi="Times New Roman"/>
        </w:rPr>
        <w:t>10</w:t>
      </w:r>
      <w:r w:rsidRPr="00D8445D">
        <w:rPr>
          <w:rFonts w:ascii="Times New Roman" w:hAnsi="Times New Roman"/>
        </w:rPr>
        <w:t xml:space="preserve"> rocznika aplikacji sędziowskiej odbywanych w terminie od </w:t>
      </w:r>
      <w:r w:rsidRPr="00324A55">
        <w:rPr>
          <w:rFonts w:ascii="Times New Roman" w:hAnsi="Times New Roman"/>
          <w:b/>
        </w:rPr>
        <w:t>2</w:t>
      </w:r>
      <w:r w:rsidR="00597683" w:rsidRPr="00324A55">
        <w:rPr>
          <w:rFonts w:ascii="Times New Roman" w:hAnsi="Times New Roman"/>
          <w:b/>
        </w:rPr>
        <w:t>2</w:t>
      </w:r>
      <w:r w:rsidRPr="00324A55">
        <w:rPr>
          <w:rFonts w:ascii="Times New Roman" w:hAnsi="Times New Roman"/>
          <w:b/>
        </w:rPr>
        <w:t xml:space="preserve"> lutego do </w:t>
      </w:r>
      <w:r w:rsidR="00597683" w:rsidRPr="00324A55">
        <w:rPr>
          <w:rFonts w:ascii="Times New Roman" w:hAnsi="Times New Roman"/>
          <w:b/>
        </w:rPr>
        <w:t>1</w:t>
      </w:r>
      <w:r w:rsidRPr="00324A55">
        <w:rPr>
          <w:rFonts w:ascii="Times New Roman" w:hAnsi="Times New Roman"/>
          <w:b/>
        </w:rPr>
        <w:t>2 marca 202</w:t>
      </w:r>
      <w:r w:rsidR="00597683" w:rsidRPr="00324A55">
        <w:rPr>
          <w:rFonts w:ascii="Times New Roman" w:hAnsi="Times New Roman"/>
          <w:b/>
        </w:rPr>
        <w:t>1</w:t>
      </w:r>
      <w:r w:rsidRPr="00324A55">
        <w:rPr>
          <w:rFonts w:ascii="Times New Roman" w:hAnsi="Times New Roman"/>
          <w:b/>
        </w:rPr>
        <w:t xml:space="preserve"> r</w:t>
      </w:r>
      <w:r w:rsidRPr="00D8445D">
        <w:rPr>
          <w:rFonts w:ascii="Times New Roman" w:hAnsi="Times New Roman"/>
        </w:rPr>
        <w:t>., po X</w:t>
      </w:r>
      <w:r>
        <w:rPr>
          <w:rFonts w:ascii="Times New Roman" w:hAnsi="Times New Roman"/>
        </w:rPr>
        <w:t>XII</w:t>
      </w:r>
      <w:r w:rsidRPr="00D8445D">
        <w:rPr>
          <w:rFonts w:ascii="Times New Roman" w:hAnsi="Times New Roman"/>
        </w:rPr>
        <w:t xml:space="preserve"> zjeździe aplikacji sędziowskiej, który odbędzie się w dniach od </w:t>
      </w:r>
      <w:r w:rsidRPr="00324A55">
        <w:rPr>
          <w:rFonts w:ascii="Times New Roman" w:hAnsi="Times New Roman"/>
          <w:b/>
        </w:rPr>
        <w:t>1</w:t>
      </w:r>
      <w:r w:rsidR="00597683" w:rsidRPr="00324A55">
        <w:rPr>
          <w:rFonts w:ascii="Times New Roman" w:hAnsi="Times New Roman"/>
          <w:b/>
        </w:rPr>
        <w:t>5 -19</w:t>
      </w:r>
      <w:r w:rsidRPr="00324A55">
        <w:rPr>
          <w:rFonts w:ascii="Times New Roman" w:hAnsi="Times New Roman"/>
          <w:b/>
        </w:rPr>
        <w:t xml:space="preserve"> lutego 202</w:t>
      </w:r>
      <w:r w:rsidR="00597683" w:rsidRPr="00324A55">
        <w:rPr>
          <w:rFonts w:ascii="Times New Roman" w:hAnsi="Times New Roman"/>
          <w:b/>
        </w:rPr>
        <w:t>1</w:t>
      </w:r>
      <w:r w:rsidRPr="00324A55">
        <w:rPr>
          <w:rFonts w:ascii="Times New Roman" w:hAnsi="Times New Roman"/>
          <w:b/>
        </w:rPr>
        <w:t xml:space="preserve"> r</w:t>
      </w:r>
      <w:r w:rsidRPr="00D8445D">
        <w:rPr>
          <w:rFonts w:ascii="Times New Roman" w:hAnsi="Times New Roman"/>
        </w:rPr>
        <w:t xml:space="preserve">. </w:t>
      </w:r>
    </w:p>
    <w:p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Założeniem praktyki, co do zasady, jest zaznajomienie</w:t>
      </w:r>
      <w:r w:rsidRPr="009D1951">
        <w:rPr>
          <w:rFonts w:ascii="Times New Roman" w:hAnsi="Times New Roman"/>
        </w:rPr>
        <w:t xml:space="preserve"> aplikant</w:t>
      </w:r>
      <w:r>
        <w:rPr>
          <w:rFonts w:ascii="Times New Roman" w:hAnsi="Times New Roman"/>
        </w:rPr>
        <w:t>ów</w:t>
      </w:r>
      <w:r w:rsidRPr="009D1951">
        <w:rPr>
          <w:rFonts w:ascii="Times New Roman" w:hAnsi="Times New Roman"/>
        </w:rPr>
        <w:t xml:space="preserve"> z czynnościami i metodyką pracy </w:t>
      </w:r>
      <w:r>
        <w:rPr>
          <w:rFonts w:ascii="Times New Roman" w:hAnsi="Times New Roman"/>
        </w:rPr>
        <w:t>sędziego</w:t>
      </w:r>
      <w:r w:rsidRPr="009D1951">
        <w:rPr>
          <w:rFonts w:ascii="Times New Roman" w:hAnsi="Times New Roman"/>
        </w:rPr>
        <w:t xml:space="preserve"> oraz doskonalenie umiejętności wykorzystania wiedzy teoretycznej i znajomości orzecznictwa</w:t>
      </w:r>
      <w:r>
        <w:rPr>
          <w:rFonts w:ascii="Times New Roman" w:hAnsi="Times New Roman"/>
        </w:rPr>
        <w:t xml:space="preserve"> </w:t>
      </w:r>
      <w:r w:rsidRPr="009D1951">
        <w:rPr>
          <w:rFonts w:ascii="Times New Roman" w:hAnsi="Times New Roman"/>
        </w:rPr>
        <w:t xml:space="preserve">przy sporządzaniu projektów orzeczeń, zarządzeń i pism procesowych, a także </w:t>
      </w:r>
      <w:r>
        <w:rPr>
          <w:rFonts w:ascii="Times New Roman" w:hAnsi="Times New Roman"/>
        </w:rPr>
        <w:t>po</w:t>
      </w:r>
      <w:r w:rsidRPr="009D1951">
        <w:rPr>
          <w:rFonts w:ascii="Times New Roman" w:hAnsi="Times New Roman"/>
        </w:rPr>
        <w:t>przez uczestniczenie w czynnościach podejmowanych przez patrona praktyki.</w:t>
      </w:r>
      <w:r>
        <w:rPr>
          <w:rFonts w:ascii="Times New Roman" w:hAnsi="Times New Roman"/>
        </w:rPr>
        <w:t xml:space="preserve"> </w:t>
      </w:r>
      <w:r w:rsidRPr="003A0070">
        <w:rPr>
          <w:rFonts w:ascii="Times New Roman" w:hAnsi="Times New Roman"/>
        </w:rPr>
        <w:t xml:space="preserve">Praktyka winna utrwalać wiedzę zdobytą </w:t>
      </w:r>
      <w:r>
        <w:rPr>
          <w:rFonts w:ascii="Times New Roman" w:hAnsi="Times New Roman"/>
        </w:rPr>
        <w:t xml:space="preserve">przez aplikanta </w:t>
      </w:r>
      <w:r w:rsidRPr="003A0070">
        <w:rPr>
          <w:rFonts w:ascii="Times New Roman" w:hAnsi="Times New Roman"/>
        </w:rPr>
        <w:t>podczas bezpośrednio poprzedzających ją zajęć seminaryjnych w ramach zjazdu.</w:t>
      </w:r>
      <w:r w:rsidRPr="001A73C9">
        <w:rPr>
          <w:rFonts w:ascii="Times New Roman" w:hAnsi="Times New Roman"/>
        </w:rPr>
        <w:t xml:space="preserve"> </w:t>
      </w:r>
    </w:p>
    <w:p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programem aplikacji sędziowskiej realizowanym przez aplikantów </w:t>
      </w:r>
      <w:r w:rsidR="00597683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rocznika tej aplikacji, przedmiotem XXII zjazdu są główne zagadnienia prawa rodzinnego </w:t>
      </w:r>
      <w:r w:rsidRPr="005507B2">
        <w:rPr>
          <w:rFonts w:ascii="Times New Roman" w:hAnsi="Times New Roman"/>
        </w:rPr>
        <w:t xml:space="preserve">- materialnego i procesowego oraz postępowania odrębne w sprawach rodzinnych. </w:t>
      </w:r>
      <w:r>
        <w:rPr>
          <w:rFonts w:ascii="Times New Roman" w:hAnsi="Times New Roman"/>
        </w:rPr>
        <w:t>Po</w:t>
      </w:r>
      <w:r w:rsidRPr="005507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zakończeniu zjazdu </w:t>
      </w:r>
      <w:r w:rsidRPr="005507B2">
        <w:rPr>
          <w:rFonts w:ascii="Times New Roman" w:hAnsi="Times New Roman"/>
        </w:rPr>
        <w:t xml:space="preserve">aplikanci mają odbyć </w:t>
      </w:r>
      <w:r w:rsidR="003902FA">
        <w:rPr>
          <w:rFonts w:ascii="Times New Roman" w:hAnsi="Times New Roman"/>
        </w:rPr>
        <w:t xml:space="preserve">trwającą </w:t>
      </w:r>
      <w:r w:rsidR="00597683">
        <w:rPr>
          <w:rFonts w:ascii="Times New Roman" w:hAnsi="Times New Roman"/>
        </w:rPr>
        <w:t>trzy</w:t>
      </w:r>
      <w:r w:rsidR="003902FA">
        <w:rPr>
          <w:rFonts w:ascii="Times New Roman" w:hAnsi="Times New Roman"/>
        </w:rPr>
        <w:t xml:space="preserve"> </w:t>
      </w:r>
      <w:r w:rsidRPr="005507B2">
        <w:rPr>
          <w:rFonts w:ascii="Times New Roman" w:hAnsi="Times New Roman"/>
        </w:rPr>
        <w:t>tygodnie praktyk</w:t>
      </w:r>
      <w:r>
        <w:rPr>
          <w:rFonts w:ascii="Times New Roman" w:hAnsi="Times New Roman"/>
        </w:rPr>
        <w:t>ę</w:t>
      </w:r>
      <w:r w:rsidRPr="005507B2">
        <w:rPr>
          <w:rFonts w:ascii="Times New Roman" w:hAnsi="Times New Roman"/>
        </w:rPr>
        <w:t xml:space="preserve"> w wydziałach rodzinnych sądów rejonowych.</w:t>
      </w:r>
      <w:r>
        <w:rPr>
          <w:rFonts w:ascii="Times New Roman" w:hAnsi="Times New Roman"/>
        </w:rPr>
        <w:t xml:space="preserve"> </w:t>
      </w:r>
    </w:p>
    <w:p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Sprawy rodzinne rozpoznawane w postępowaniu nieprocesowym, sprawy opiekuńcze oraz sprawy rozpoznawane na podstawie ustawy o postępowaniu w sprawach nieletnich będą przedmiotem kolejnego zjazdu (XXIII), który odbędzie się w dniach od </w:t>
      </w:r>
      <w:r w:rsidR="00597683">
        <w:rPr>
          <w:rFonts w:ascii="Times New Roman" w:hAnsi="Times New Roman"/>
        </w:rPr>
        <w:t>15-19</w:t>
      </w:r>
      <w:r>
        <w:rPr>
          <w:rFonts w:ascii="Times New Roman" w:hAnsi="Times New Roman"/>
        </w:rPr>
        <w:t xml:space="preserve"> marca 202</w:t>
      </w:r>
      <w:r w:rsidR="0059768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r.</w:t>
      </w:r>
    </w:p>
    <w:p w:rsidR="007C3A8C" w:rsidRPr="001A73C9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5507B2">
        <w:rPr>
          <w:rFonts w:ascii="Times New Roman" w:hAnsi="Times New Roman"/>
        </w:rPr>
        <w:t xml:space="preserve"> uwagi na zakres tematyczny X</w:t>
      </w:r>
      <w:r>
        <w:rPr>
          <w:rFonts w:ascii="Times New Roman" w:hAnsi="Times New Roman"/>
        </w:rPr>
        <w:t>XII</w:t>
      </w:r>
      <w:r w:rsidRPr="005507B2">
        <w:rPr>
          <w:rFonts w:ascii="Times New Roman" w:hAnsi="Times New Roman"/>
        </w:rPr>
        <w:t xml:space="preserve"> zjazdu </w:t>
      </w:r>
      <w:r>
        <w:rPr>
          <w:rFonts w:ascii="Times New Roman" w:hAnsi="Times New Roman"/>
        </w:rPr>
        <w:t xml:space="preserve">patron </w:t>
      </w:r>
      <w:r w:rsidRPr="003A0070">
        <w:rPr>
          <w:rFonts w:ascii="Times New Roman" w:hAnsi="Times New Roman"/>
        </w:rPr>
        <w:t xml:space="preserve">praktyki oraz patron koordynator powinni przy pracy z aplikantami poświęcić szczególną uwagę problematyce </w:t>
      </w:r>
      <w:r>
        <w:rPr>
          <w:rFonts w:ascii="Times New Roman" w:hAnsi="Times New Roman"/>
        </w:rPr>
        <w:t xml:space="preserve">spraw rodzinnych w ogólności oraz odrębnościom postępowania w tych sprawach, a w szczególności następującym zagadnieniom </w:t>
      </w:r>
      <w:r w:rsidRPr="00C158E8">
        <w:rPr>
          <w:rFonts w:ascii="Times New Roman" w:hAnsi="Times New Roman"/>
          <w:b/>
        </w:rPr>
        <w:t>z zakresu prawa materialnego:</w:t>
      </w:r>
    </w:p>
    <w:p w:rsidR="007C3A8C" w:rsidRDefault="007C3A8C" w:rsidP="007C3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 xml:space="preserve">pochodzenie dziecka w tym: </w:t>
      </w:r>
    </w:p>
    <w:p w:rsidR="007C3A8C" w:rsidRDefault="007C3A8C" w:rsidP="007C3A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 xml:space="preserve">zasada niepodzielności stanu cywilnego, </w:t>
      </w:r>
    </w:p>
    <w:p w:rsidR="007C3A8C" w:rsidRDefault="007C3A8C" w:rsidP="007C3A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 xml:space="preserve">ustalenie lub zaprzeczenie ojcostwa i macierzyństwa, </w:t>
      </w:r>
    </w:p>
    <w:p w:rsidR="007C3A8C" w:rsidRDefault="007C3A8C" w:rsidP="007C3A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 xml:space="preserve">materialnoprawne przesłanki </w:t>
      </w:r>
      <w:r w:rsidRPr="007C3A8C">
        <w:rPr>
          <w:rFonts w:ascii="Times New Roman" w:eastAsia="Andale Sans UI" w:hAnsi="Times New Roman"/>
          <w:kern w:val="3"/>
        </w:rPr>
        <w:t>ustalenia/zaprzeczenia pochodzenia</w:t>
      </w:r>
      <w:r w:rsidRPr="00C158E8">
        <w:rPr>
          <w:rFonts w:ascii="Times New Roman" w:eastAsia="Andale Sans UI" w:hAnsi="Times New Roman"/>
          <w:kern w:val="3"/>
        </w:rPr>
        <w:t xml:space="preserve"> dziecka, </w:t>
      </w:r>
    </w:p>
    <w:p w:rsidR="007C3A8C" w:rsidRDefault="007C3A8C" w:rsidP="007C3A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>uznanie ojcostwa, ustalenie bezskuteczności uznania lub unieważnieni</w:t>
      </w:r>
      <w:r>
        <w:rPr>
          <w:rFonts w:ascii="Times New Roman" w:eastAsia="Andale Sans UI" w:hAnsi="Times New Roman"/>
          <w:kern w:val="3"/>
        </w:rPr>
        <w:t>e</w:t>
      </w:r>
      <w:r w:rsidRPr="00C158E8">
        <w:rPr>
          <w:rFonts w:ascii="Times New Roman" w:eastAsia="Andale Sans UI" w:hAnsi="Times New Roman"/>
          <w:kern w:val="3"/>
        </w:rPr>
        <w:t xml:space="preserve"> uznania ojcostwa, </w:t>
      </w:r>
    </w:p>
    <w:p w:rsidR="007C3A8C" w:rsidRDefault="007C3A8C" w:rsidP="007C3A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 xml:space="preserve">domniemania prawne i faktyczne w sprawach o pochodzenie dziecka, </w:t>
      </w:r>
    </w:p>
    <w:p w:rsidR="007C3A8C" w:rsidRDefault="007C3A8C" w:rsidP="007C3A8C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>terminy do wytoczenia powództwa</w:t>
      </w:r>
      <w:r>
        <w:rPr>
          <w:rFonts w:ascii="Times New Roman" w:eastAsia="Andale Sans UI" w:hAnsi="Times New Roman"/>
          <w:kern w:val="3"/>
        </w:rPr>
        <w:t xml:space="preserve"> w sprawach dotyczących pochodzenia dziecka oraz prawne konsekwencje ich upływu</w:t>
      </w:r>
      <w:r w:rsidRPr="00C158E8">
        <w:rPr>
          <w:rFonts w:ascii="Times New Roman" w:eastAsia="Andale Sans UI" w:hAnsi="Times New Roman"/>
          <w:kern w:val="3"/>
        </w:rPr>
        <w:t>;</w:t>
      </w:r>
    </w:p>
    <w:p w:rsidR="007C3A8C" w:rsidRPr="007C3A8C" w:rsidRDefault="007C3A8C" w:rsidP="007C3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C3A8C">
        <w:rPr>
          <w:rFonts w:ascii="Times New Roman" w:eastAsia="Andale Sans UI" w:hAnsi="Times New Roman"/>
          <w:kern w:val="3"/>
        </w:rPr>
        <w:t>rozwiązanie przysposobienia w tym :</w:t>
      </w:r>
    </w:p>
    <w:p w:rsidR="007C3A8C" w:rsidRPr="007C3A8C" w:rsidRDefault="007C3A8C" w:rsidP="007C3A8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C3A8C">
        <w:rPr>
          <w:rFonts w:ascii="Times New Roman" w:eastAsia="Andale Sans UI" w:hAnsi="Times New Roman"/>
          <w:kern w:val="3"/>
        </w:rPr>
        <w:t>materialnoprawne przesłanki rozwiązania przysposobienia,</w:t>
      </w:r>
    </w:p>
    <w:p w:rsidR="007C3A8C" w:rsidRPr="007C3A8C" w:rsidRDefault="007C3A8C" w:rsidP="007C3A8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C3A8C">
        <w:rPr>
          <w:rFonts w:ascii="Times New Roman" w:eastAsia="Andale Sans UI" w:hAnsi="Times New Roman"/>
          <w:kern w:val="3"/>
        </w:rPr>
        <w:t>utrzymanie w mocy obowiązku alimentacyjnego wynikając</w:t>
      </w:r>
      <w:r>
        <w:rPr>
          <w:rFonts w:ascii="Times New Roman" w:eastAsia="Andale Sans UI" w:hAnsi="Times New Roman"/>
          <w:kern w:val="3"/>
        </w:rPr>
        <w:t>ego ze stosunku przysposobienia;</w:t>
      </w:r>
    </w:p>
    <w:p w:rsidR="007C3A8C" w:rsidRDefault="007C3A8C" w:rsidP="007C3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>roszczenia alimentacyjne</w:t>
      </w:r>
      <w:r>
        <w:rPr>
          <w:rFonts w:ascii="Times New Roman" w:eastAsia="Andale Sans UI" w:hAnsi="Times New Roman"/>
          <w:kern w:val="3"/>
        </w:rPr>
        <w:t>,</w:t>
      </w:r>
      <w:r w:rsidRPr="00C158E8">
        <w:rPr>
          <w:rFonts w:ascii="Times New Roman" w:eastAsia="Andale Sans UI" w:hAnsi="Times New Roman"/>
          <w:kern w:val="3"/>
        </w:rPr>
        <w:t xml:space="preserve"> w tym: </w:t>
      </w:r>
    </w:p>
    <w:p w:rsidR="007C3A8C" w:rsidRDefault="007C3A8C" w:rsidP="007C3A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 xml:space="preserve">przesłanki i zakres obowiązku alimentacyjnego, </w:t>
      </w:r>
    </w:p>
    <w:p w:rsidR="007C3A8C" w:rsidRDefault="007C3A8C" w:rsidP="007C3A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 xml:space="preserve">pojęcie niedostatku i równej stopy życiowej, </w:t>
      </w:r>
    </w:p>
    <w:p w:rsidR="007C3A8C" w:rsidRDefault="007C3A8C" w:rsidP="007C3A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różne procesowe możliwości dochodzenia świadczeń alimentacyjnych,</w:t>
      </w:r>
    </w:p>
    <w:p w:rsidR="007C3A8C" w:rsidRDefault="007C3A8C" w:rsidP="007C3A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>obowiązek alimentacyjny zobowiązanego w dalszej kolejności a roszczenie regresowe,</w:t>
      </w:r>
    </w:p>
    <w:p w:rsidR="007C3A8C" w:rsidRDefault="007C3A8C" w:rsidP="007C3A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alimenty zaległe,</w:t>
      </w:r>
    </w:p>
    <w:p w:rsidR="007C3A8C" w:rsidRDefault="007C3A8C" w:rsidP="007C3A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>
        <w:rPr>
          <w:rFonts w:ascii="Times New Roman" w:eastAsia="Andale Sans UI" w:hAnsi="Times New Roman"/>
          <w:kern w:val="3"/>
        </w:rPr>
        <w:t>przedawnienie roszczeń alimentacyjnych,</w:t>
      </w:r>
    </w:p>
    <w:p w:rsidR="007C3A8C" w:rsidRPr="007C3A8C" w:rsidRDefault="007C3A8C" w:rsidP="007C3A8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7C3A8C">
        <w:rPr>
          <w:rFonts w:ascii="Times New Roman" w:eastAsia="Andale Sans UI" w:hAnsi="Times New Roman"/>
          <w:kern w:val="3"/>
        </w:rPr>
        <w:t>zabezpieczenie roszczeń alimentacyjnych</w:t>
      </w:r>
      <w:r>
        <w:rPr>
          <w:rFonts w:ascii="Times New Roman" w:eastAsia="Andale Sans UI" w:hAnsi="Times New Roman"/>
          <w:kern w:val="3"/>
        </w:rPr>
        <w:t>;</w:t>
      </w:r>
    </w:p>
    <w:p w:rsidR="007C3A8C" w:rsidRPr="00C158E8" w:rsidRDefault="007C3A8C" w:rsidP="007C3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>ustanowienie rozdzielności majątkowej między małżonkami, przesłanki ustanowienia rozdzielności majątkowej z dniem wcześniejszy</w:t>
      </w:r>
      <w:r>
        <w:rPr>
          <w:rFonts w:ascii="Times New Roman" w:eastAsia="Andale Sans UI" w:hAnsi="Times New Roman"/>
          <w:kern w:val="3"/>
        </w:rPr>
        <w:t>m niż data wytoczenia powództwa;</w:t>
      </w:r>
    </w:p>
    <w:p w:rsidR="007C3A8C" w:rsidRPr="00C158E8" w:rsidRDefault="007C3A8C" w:rsidP="007C3A8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Andale Sans UI" w:hAnsi="Times New Roman"/>
          <w:kern w:val="3"/>
        </w:rPr>
      </w:pPr>
      <w:r w:rsidRPr="00C158E8">
        <w:rPr>
          <w:rFonts w:ascii="Times New Roman" w:eastAsia="Andale Sans UI" w:hAnsi="Times New Roman"/>
          <w:kern w:val="3"/>
        </w:rPr>
        <w:t>pozostałe sprawy rodzinne rozpoznawane przez wydziały rodzinne sądów rejonowych w postępowaniu procesowym</w:t>
      </w:r>
      <w:r>
        <w:rPr>
          <w:rFonts w:ascii="Times New Roman" w:eastAsia="Andale Sans UI" w:hAnsi="Times New Roman"/>
          <w:kern w:val="3"/>
        </w:rPr>
        <w:t>;</w:t>
      </w:r>
    </w:p>
    <w:p w:rsidR="007C3A8C" w:rsidRPr="00C158E8" w:rsidRDefault="007C3A8C" w:rsidP="007C3A8C">
      <w:pPr>
        <w:spacing w:before="120" w:line="360" w:lineRule="auto"/>
        <w:ind w:firstLine="360"/>
        <w:jc w:val="both"/>
        <w:rPr>
          <w:rFonts w:ascii="Times New Roman" w:hAnsi="Times New Roman"/>
        </w:rPr>
      </w:pPr>
      <w:r w:rsidRPr="00C158E8">
        <w:rPr>
          <w:rFonts w:ascii="Times New Roman" w:hAnsi="Times New Roman"/>
        </w:rPr>
        <w:t xml:space="preserve">Nadto patron praktyki oraz patron koordynator powinni przy pracy z aplikantami poświęcić szczególną uwagę następującym </w:t>
      </w:r>
      <w:r w:rsidRPr="00C158E8">
        <w:rPr>
          <w:rFonts w:ascii="Times New Roman" w:hAnsi="Times New Roman"/>
          <w:b/>
          <w:bCs/>
        </w:rPr>
        <w:t>zagadnieniom prawa procesowego:</w:t>
      </w:r>
      <w:r w:rsidRPr="00C158E8">
        <w:rPr>
          <w:rFonts w:ascii="Times New Roman" w:hAnsi="Times New Roman"/>
        </w:rPr>
        <w:t xml:space="preserve"> </w:t>
      </w:r>
    </w:p>
    <w:p w:rsidR="007C3A8C" w:rsidRPr="0034770A" w:rsidRDefault="007C3A8C" w:rsidP="007C3A8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34770A">
        <w:rPr>
          <w:rFonts w:ascii="Times New Roman" w:hAnsi="Times New Roman"/>
        </w:rPr>
        <w:lastRenderedPageBreak/>
        <w:t xml:space="preserve">właściwość rzeczowa i miejscowa w poszczególnych sprawach </w:t>
      </w:r>
      <w:r>
        <w:rPr>
          <w:rFonts w:ascii="Times New Roman" w:hAnsi="Times New Roman"/>
        </w:rPr>
        <w:t xml:space="preserve">rodzinnych </w:t>
      </w:r>
      <w:r w:rsidRPr="0034770A">
        <w:rPr>
          <w:rFonts w:ascii="Times New Roman" w:hAnsi="Times New Roman"/>
        </w:rPr>
        <w:t>rozpoznaw</w:t>
      </w:r>
      <w:r>
        <w:rPr>
          <w:rFonts w:ascii="Times New Roman" w:hAnsi="Times New Roman"/>
        </w:rPr>
        <w:t>anych w postępowaniu procesowym</w:t>
      </w:r>
      <w:r w:rsidRPr="0034770A">
        <w:rPr>
          <w:rFonts w:ascii="Times New Roman" w:hAnsi="Times New Roman"/>
        </w:rPr>
        <w:t xml:space="preserve">; </w:t>
      </w:r>
    </w:p>
    <w:p w:rsidR="007C3A8C" w:rsidRPr="0034770A" w:rsidRDefault="007C3A8C" w:rsidP="007C3A8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ndale Sans UI" w:hAnsi="Times New Roman"/>
          <w:kern w:val="3"/>
        </w:rPr>
      </w:pPr>
      <w:r w:rsidRPr="0034770A">
        <w:rPr>
          <w:rFonts w:ascii="Times New Roman" w:eastAsia="Andale Sans UI" w:hAnsi="Times New Roman"/>
          <w:kern w:val="3"/>
        </w:rPr>
        <w:t xml:space="preserve">reprezentacja osób małoletnich w </w:t>
      </w:r>
      <w:r>
        <w:rPr>
          <w:rFonts w:ascii="Times New Roman" w:eastAsia="Andale Sans UI" w:hAnsi="Times New Roman"/>
          <w:kern w:val="3"/>
        </w:rPr>
        <w:t>procesie;</w:t>
      </w:r>
    </w:p>
    <w:p w:rsidR="007C3A8C" w:rsidRPr="0034770A" w:rsidRDefault="007C3A8C" w:rsidP="007C3A8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ndale Sans UI" w:hAnsi="Times New Roman"/>
          <w:kern w:val="3"/>
        </w:rPr>
      </w:pPr>
      <w:r w:rsidRPr="0034770A">
        <w:rPr>
          <w:rFonts w:ascii="Times New Roman" w:eastAsia="Andale Sans UI" w:hAnsi="Times New Roman"/>
          <w:kern w:val="3"/>
        </w:rPr>
        <w:t>udział prokuratora i organizacji społecznych w pos</w:t>
      </w:r>
      <w:r>
        <w:rPr>
          <w:rFonts w:ascii="Times New Roman" w:eastAsia="Andale Sans UI" w:hAnsi="Times New Roman"/>
          <w:kern w:val="3"/>
        </w:rPr>
        <w:t>tępowaniu w sprawach rodzinnych;</w:t>
      </w:r>
    </w:p>
    <w:p w:rsidR="007C3A8C" w:rsidRPr="007C3A8C" w:rsidRDefault="007C3A8C" w:rsidP="007C3A8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ndale Sans UI" w:hAnsi="Times New Roman"/>
          <w:kern w:val="3"/>
        </w:rPr>
      </w:pPr>
      <w:r w:rsidRPr="007C3A8C">
        <w:rPr>
          <w:rFonts w:ascii="Times New Roman" w:eastAsia="Andale Sans UI" w:hAnsi="Times New Roman"/>
          <w:kern w:val="3"/>
        </w:rPr>
        <w:t>legitymacja czynna i bierna w sprawach rodzinnych rozpoznawanych w postępowaniu procesowym</w:t>
      </w:r>
      <w:r>
        <w:rPr>
          <w:rFonts w:ascii="Times New Roman" w:eastAsia="Andale Sans UI" w:hAnsi="Times New Roman"/>
          <w:kern w:val="3"/>
        </w:rPr>
        <w:t>;</w:t>
      </w:r>
    </w:p>
    <w:p w:rsidR="007C3A8C" w:rsidRPr="007C3A8C" w:rsidRDefault="007C3A8C" w:rsidP="007C3A8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Andale Sans UI" w:hAnsi="Times New Roman"/>
          <w:kern w:val="3"/>
        </w:rPr>
      </w:pPr>
      <w:r w:rsidRPr="007C3A8C">
        <w:rPr>
          <w:rFonts w:ascii="Times New Roman" w:eastAsia="Andale Sans UI" w:hAnsi="Times New Roman"/>
          <w:kern w:val="3"/>
        </w:rPr>
        <w:t>postępowanie zabezpieczające w zakresie alimentów i kontaktów z dzieckiem;</w:t>
      </w:r>
    </w:p>
    <w:p w:rsidR="007C3A8C" w:rsidRDefault="007C3A8C" w:rsidP="007C3A8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odrębności procedury w sprawach rodzinnych rozpoznawanych w procesie, w szczególności w </w:t>
      </w:r>
      <w:r w:rsidRPr="007C3A8C">
        <w:rPr>
          <w:rFonts w:ascii="Times New Roman" w:hAnsi="Times New Roman"/>
        </w:rPr>
        <w:t>sprawach ze stosunków między rodzicami a dziećmi; specyfika postępowania</w:t>
      </w:r>
      <w:r>
        <w:rPr>
          <w:rFonts w:ascii="Times New Roman" w:hAnsi="Times New Roman"/>
        </w:rPr>
        <w:t xml:space="preserve"> dowodowego w tych sprawach;</w:t>
      </w:r>
    </w:p>
    <w:p w:rsidR="007C3A8C" w:rsidRPr="007C3A8C" w:rsidRDefault="007C3A8C" w:rsidP="007C3A8C">
      <w:pPr>
        <w:pStyle w:val="Akapitzlist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 w:rsidRPr="007C3A8C">
        <w:rPr>
          <w:rFonts w:ascii="Times New Roman" w:hAnsi="Times New Roman"/>
        </w:rPr>
        <w:t>zależność między postępowaniem o rozwód lub separację toczącym się przed sądem okręgowym a postępowaniem w sprawach o zaspokojenie potrzeb rodziny lub o alimenty oraz w sprawach dotyczących władzy rodzicielskiej nad wspólnymi dziećmi stron lub ustalenia kontaktów toczącymi się w sądzie rejonowym;</w:t>
      </w:r>
    </w:p>
    <w:p w:rsidR="007C3A8C" w:rsidRPr="00B25336" w:rsidRDefault="007C3A8C" w:rsidP="007C3A8C">
      <w:pPr>
        <w:pStyle w:val="Akapitzlist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koszty postępowania.</w:t>
      </w:r>
    </w:p>
    <w:p w:rsidR="007C3A8C" w:rsidRPr="0034770A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887DF0">
        <w:rPr>
          <w:rFonts w:ascii="Times New Roman" w:hAnsi="Times New Roman"/>
        </w:rPr>
        <w:t xml:space="preserve">W ramach praktyki należy </w:t>
      </w:r>
      <w:r>
        <w:rPr>
          <w:rFonts w:ascii="Times New Roman" w:hAnsi="Times New Roman"/>
        </w:rPr>
        <w:t xml:space="preserve">także </w:t>
      </w:r>
      <w:r w:rsidRPr="00887DF0">
        <w:rPr>
          <w:rFonts w:ascii="Times New Roman" w:hAnsi="Times New Roman"/>
        </w:rPr>
        <w:t>zapoznać aplikantów z problematyką alternatywnych metod rozwiązywania sporów w sprawach rodzinnych, w tym mediacji rodzinnej, porozumie</w:t>
      </w:r>
      <w:r>
        <w:rPr>
          <w:rFonts w:ascii="Times New Roman" w:hAnsi="Times New Roman"/>
        </w:rPr>
        <w:t>ń</w:t>
      </w:r>
      <w:r w:rsidRPr="00887DF0">
        <w:rPr>
          <w:rFonts w:ascii="Times New Roman" w:hAnsi="Times New Roman"/>
        </w:rPr>
        <w:t xml:space="preserve"> małżonków o sposobie </w:t>
      </w:r>
      <w:r w:rsidRPr="0034770A">
        <w:rPr>
          <w:rFonts w:ascii="Times New Roman" w:hAnsi="Times New Roman"/>
        </w:rPr>
        <w:t xml:space="preserve">wykonywania władzy rodzicielskiej i utrzymywaniu kontaktów z dzieckiem oraz zakresu związania tym porozumieniem, jak również ugód sądowych w sprawach rodzinnych.  </w:t>
      </w:r>
    </w:p>
    <w:p w:rsidR="007C3A8C" w:rsidRPr="00F34AFB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F34AFB">
        <w:rPr>
          <w:rFonts w:ascii="Times New Roman" w:hAnsi="Times New Roman"/>
        </w:rPr>
        <w:t>Szczególną uwagę należy poświęcić sprawom rodzinnym z elementem zagranicznym, a zwłaszcza problematyce ustalania jurysdykcji i prawa właściwego w sprawach rodzinnych, w tym kwestiom uregulowanym w rozporządzeniach Rady (WE): nr 2201/2003 z dnia 22</w:t>
      </w:r>
      <w:r>
        <w:rPr>
          <w:rFonts w:ascii="Times New Roman" w:hAnsi="Times New Roman"/>
        </w:rPr>
        <w:t xml:space="preserve"> listopada </w:t>
      </w:r>
      <w:r w:rsidRPr="00F34AF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003 r. i nr 4/2009 z dnia 18 grudnia </w:t>
      </w:r>
      <w:r w:rsidRPr="00F34AFB">
        <w:rPr>
          <w:rFonts w:ascii="Times New Roman" w:hAnsi="Times New Roman"/>
        </w:rPr>
        <w:t xml:space="preserve">2008 r. </w:t>
      </w:r>
    </w:p>
    <w:p w:rsidR="007C3A8C" w:rsidRPr="00F34AFB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 w:rsidRPr="00F34AFB">
        <w:rPr>
          <w:rFonts w:ascii="Times New Roman" w:hAnsi="Times New Roman"/>
        </w:rPr>
        <w:t>W ramach zjazdu X</w:t>
      </w:r>
      <w:r>
        <w:rPr>
          <w:rFonts w:ascii="Times New Roman" w:hAnsi="Times New Roman"/>
        </w:rPr>
        <w:t>XII</w:t>
      </w:r>
      <w:r w:rsidRPr="00F34AFB">
        <w:rPr>
          <w:rFonts w:ascii="Times New Roman" w:hAnsi="Times New Roman"/>
        </w:rPr>
        <w:t xml:space="preserve"> aplikanci omawiać będą również zagadnienia dotyczące zadań i funkcjonowania </w:t>
      </w:r>
      <w:r w:rsidRPr="00F34AFB">
        <w:rPr>
          <w:rFonts w:ascii="Times New Roman" w:eastAsia="Andale Sans UI" w:hAnsi="Times New Roman"/>
          <w:kern w:val="3"/>
        </w:rPr>
        <w:t>Opiniodawczych Zespołów Sądowych Specjalistów, stąd celowym jest także zapoznanie aplikantów z praktycznymi aspektami działalności tych Zespołów oraz formułowaniem postanowień dowodowych kierowanych do tych Zespołów w poszczególnych kategoriach spraw.</w:t>
      </w:r>
      <w:r w:rsidRPr="00F34AFB">
        <w:rPr>
          <w:rFonts w:ascii="Times New Roman" w:hAnsi="Times New Roman"/>
        </w:rPr>
        <w:t xml:space="preserve">   </w:t>
      </w:r>
    </w:p>
    <w:p w:rsidR="007C3A8C" w:rsidRDefault="007C3A8C" w:rsidP="007C3A8C">
      <w:pPr>
        <w:widowControl w:val="0"/>
        <w:spacing w:line="360" w:lineRule="auto"/>
        <w:ind w:firstLine="708"/>
        <w:jc w:val="both"/>
        <w:rPr>
          <w:rFonts w:ascii="Times New Roman" w:hAnsi="Times New Roman"/>
        </w:rPr>
      </w:pPr>
      <w:r w:rsidRPr="00F34AFB">
        <w:rPr>
          <w:rFonts w:ascii="Times New Roman" w:hAnsi="Times New Roman"/>
        </w:rPr>
        <w:t>Zaleca się, aby aplikanci w trakcie praktyki</w:t>
      </w:r>
      <w:r w:rsidRPr="00042BDA">
        <w:rPr>
          <w:rFonts w:ascii="Times New Roman" w:hAnsi="Times New Roman"/>
        </w:rPr>
        <w:t xml:space="preserve"> zapoznawali się z konkretnymi sprawami z</w:t>
      </w:r>
      <w:r>
        <w:rPr>
          <w:rFonts w:ascii="Times New Roman" w:hAnsi="Times New Roman"/>
        </w:rPr>
        <w:t>e wskazanego wyżej</w:t>
      </w:r>
      <w:r w:rsidRPr="00042BDA">
        <w:rPr>
          <w:rFonts w:ascii="Times New Roman" w:hAnsi="Times New Roman"/>
        </w:rPr>
        <w:t> zakresu</w:t>
      </w:r>
      <w:r>
        <w:rPr>
          <w:rFonts w:ascii="Times New Roman" w:hAnsi="Times New Roman"/>
        </w:rPr>
        <w:t>.</w:t>
      </w:r>
      <w:r w:rsidRPr="00042B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</w:t>
      </w:r>
      <w:r w:rsidRPr="007778F9">
        <w:rPr>
          <w:rFonts w:ascii="Times New Roman" w:hAnsi="Times New Roman"/>
        </w:rPr>
        <w:t xml:space="preserve">elowym jest także powierzanie aplikantom jak największej liczby czynności polegających na przygotowywaniu projektów orzeczeń sądu w sprawach </w:t>
      </w:r>
      <w:r>
        <w:rPr>
          <w:rFonts w:ascii="Times New Roman" w:hAnsi="Times New Roman"/>
        </w:rPr>
        <w:t xml:space="preserve">rodzinnych </w:t>
      </w:r>
      <w:r w:rsidRPr="007778F9">
        <w:rPr>
          <w:rFonts w:ascii="Times New Roman" w:hAnsi="Times New Roman"/>
        </w:rPr>
        <w:t>oraz uzasadnień do tych orzeczeń</w:t>
      </w:r>
      <w:r>
        <w:rPr>
          <w:rFonts w:ascii="Times New Roman" w:hAnsi="Times New Roman"/>
        </w:rPr>
        <w:t>, a także innych czynności, które pomogą</w:t>
      </w:r>
      <w:r w:rsidRPr="00042BDA">
        <w:rPr>
          <w:rFonts w:ascii="Times New Roman" w:hAnsi="Times New Roman"/>
        </w:rPr>
        <w:t xml:space="preserve"> utrwalić i</w:t>
      </w:r>
      <w:r>
        <w:rPr>
          <w:rFonts w:ascii="Times New Roman" w:hAnsi="Times New Roman"/>
        </w:rPr>
        <w:t>m w praktyce</w:t>
      </w:r>
      <w:r w:rsidRPr="00042B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zdobytą podczas zajęć seminaryjnych wiedzę teoretyczną</w:t>
      </w:r>
      <w:r w:rsidRPr="00042BDA">
        <w:rPr>
          <w:rFonts w:ascii="Times New Roman" w:hAnsi="Times New Roman"/>
        </w:rPr>
        <w:t>.</w:t>
      </w:r>
    </w:p>
    <w:p w:rsidR="007C3A8C" w:rsidRDefault="007C3A8C" w:rsidP="007C3A8C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XXIV zjeździe, w dniu </w:t>
      </w:r>
      <w:r w:rsidR="00597683">
        <w:rPr>
          <w:rFonts w:ascii="Times New Roman" w:hAnsi="Times New Roman"/>
        </w:rPr>
        <w:t>19 kwietnia 2021</w:t>
      </w:r>
      <w:r>
        <w:rPr>
          <w:rFonts w:ascii="Times New Roman" w:hAnsi="Times New Roman"/>
        </w:rPr>
        <w:t xml:space="preserve"> r., odbędzie się sprawdzian, którego przedmiotem </w:t>
      </w:r>
      <w:r w:rsidRPr="00042BDA">
        <w:rPr>
          <w:rFonts w:ascii="Times New Roman" w:hAnsi="Times New Roman"/>
        </w:rPr>
        <w:t xml:space="preserve">będzie </w:t>
      </w:r>
      <w:r>
        <w:rPr>
          <w:rFonts w:ascii="Times New Roman" w:hAnsi="Times New Roman"/>
        </w:rPr>
        <w:t xml:space="preserve">przygotowanie przez aplikantów projektu orzeczenia sądu I instancji wraz z </w:t>
      </w:r>
      <w:r>
        <w:rPr>
          <w:rFonts w:ascii="Times New Roman" w:hAnsi="Times New Roman"/>
        </w:rPr>
        <w:lastRenderedPageBreak/>
        <w:t xml:space="preserve">uzasadnieniem w sprawie objętej tematyką zjazdów dotyczących prawa rodzinnego. </w:t>
      </w:r>
      <w:r>
        <w:rPr>
          <w:rFonts w:ascii="Times New Roman" w:eastAsia="Andale Sans UI" w:hAnsi="Times New Roman"/>
          <w:kern w:val="3"/>
        </w:rPr>
        <w:t xml:space="preserve">Przedmiot sprawdzianu może więc obejmować także </w:t>
      </w:r>
      <w:r w:rsidRPr="00042BDA">
        <w:rPr>
          <w:rFonts w:ascii="Times New Roman" w:hAnsi="Times New Roman"/>
        </w:rPr>
        <w:t>sporządzenie</w:t>
      </w:r>
      <w:r>
        <w:rPr>
          <w:rFonts w:ascii="Times New Roman" w:hAnsi="Times New Roman"/>
        </w:rPr>
        <w:t>,</w:t>
      </w:r>
      <w:r w:rsidRPr="00042BDA">
        <w:rPr>
          <w:rFonts w:ascii="Times New Roman" w:hAnsi="Times New Roman"/>
        </w:rPr>
        <w:t xml:space="preserve"> n</w:t>
      </w:r>
      <w:r>
        <w:rPr>
          <w:rFonts w:ascii="Times New Roman" w:hAnsi="Times New Roman"/>
        </w:rPr>
        <w:t>a podstawie spreparowanych akt,</w:t>
      </w:r>
      <w:r w:rsidRPr="00042BDA">
        <w:rPr>
          <w:rFonts w:ascii="Times New Roman" w:hAnsi="Times New Roman"/>
        </w:rPr>
        <w:t xml:space="preserve"> </w:t>
      </w:r>
      <w:r w:rsidRPr="00042BDA">
        <w:rPr>
          <w:rFonts w:ascii="Times New Roman" w:eastAsia="Andale Sans UI" w:hAnsi="Times New Roman"/>
          <w:kern w:val="3"/>
        </w:rPr>
        <w:t xml:space="preserve">projektu orzeczenia </w:t>
      </w:r>
      <w:r>
        <w:rPr>
          <w:rFonts w:ascii="Times New Roman" w:eastAsia="Andale Sans UI" w:hAnsi="Times New Roman"/>
          <w:kern w:val="3"/>
        </w:rPr>
        <w:t xml:space="preserve">wraz z uzasadnieniem </w:t>
      </w:r>
      <w:r w:rsidRPr="00042BDA">
        <w:rPr>
          <w:rFonts w:ascii="Times New Roman" w:eastAsia="Andale Sans UI" w:hAnsi="Times New Roman"/>
          <w:iCs/>
          <w:kern w:val="3"/>
        </w:rPr>
        <w:t xml:space="preserve">w </w:t>
      </w:r>
      <w:r>
        <w:rPr>
          <w:rFonts w:ascii="Times New Roman" w:eastAsia="Andale Sans UI" w:hAnsi="Times New Roman"/>
          <w:iCs/>
          <w:kern w:val="3"/>
        </w:rPr>
        <w:t>sprawie rodzinnej rozpoznawanej w postępowaniu procesowym</w:t>
      </w:r>
      <w:r>
        <w:rPr>
          <w:rFonts w:ascii="Times New Roman" w:eastAsia="Andale Sans UI" w:hAnsi="Times New Roman"/>
          <w:kern w:val="3"/>
        </w:rPr>
        <w:t xml:space="preserve">. </w:t>
      </w:r>
      <w:r w:rsidRPr="007778F9">
        <w:rPr>
          <w:rFonts w:ascii="Times New Roman" w:hAnsi="Times New Roman"/>
        </w:rPr>
        <w:t xml:space="preserve">Dlatego ważnym jest, aby aplikanci podczas praktyk opanowali </w:t>
      </w:r>
      <w:r>
        <w:rPr>
          <w:rFonts w:ascii="Times New Roman" w:hAnsi="Times New Roman"/>
        </w:rPr>
        <w:t>w możliwie</w:t>
      </w:r>
      <w:r w:rsidRPr="007778F9">
        <w:rPr>
          <w:rFonts w:ascii="Times New Roman" w:hAnsi="Times New Roman"/>
        </w:rPr>
        <w:t xml:space="preserve"> najwyższym stopniu umiejętność samodzielnego opracowywania projektów orzeczeń sądu rodzinnego wraz z uzasadnieniem</w:t>
      </w:r>
      <w:r>
        <w:rPr>
          <w:rFonts w:ascii="Times New Roman" w:hAnsi="Times New Roman"/>
        </w:rPr>
        <w:t xml:space="preserve"> w tego rodzaju sprawach</w:t>
      </w:r>
      <w:r w:rsidRPr="007778F9">
        <w:rPr>
          <w:rFonts w:ascii="Times New Roman" w:hAnsi="Times New Roman"/>
        </w:rPr>
        <w:t xml:space="preserve">. </w:t>
      </w:r>
    </w:p>
    <w:p w:rsidR="007B768F" w:rsidRPr="007778F9" w:rsidRDefault="007B768F" w:rsidP="007C3A8C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7B768F" w:rsidRPr="007B768F" w:rsidRDefault="007B768F" w:rsidP="007B768F">
      <w:pPr>
        <w:spacing w:line="240" w:lineRule="auto"/>
        <w:ind w:left="3540"/>
        <w:jc w:val="center"/>
        <w:rPr>
          <w:rFonts w:ascii="Times New Roman" w:hAnsi="Times New Roman"/>
        </w:rPr>
      </w:pPr>
      <w:r w:rsidRPr="007B768F">
        <w:rPr>
          <w:rFonts w:ascii="Times New Roman" w:hAnsi="Times New Roman"/>
        </w:rPr>
        <w:t xml:space="preserve">Kierownik Działu Dydaktycznego </w:t>
      </w:r>
    </w:p>
    <w:p w:rsidR="007B768F" w:rsidRPr="007B768F" w:rsidRDefault="007B768F" w:rsidP="007B768F">
      <w:pPr>
        <w:spacing w:line="240" w:lineRule="auto"/>
        <w:ind w:left="3540"/>
        <w:jc w:val="center"/>
        <w:rPr>
          <w:rFonts w:ascii="Times New Roman" w:hAnsi="Times New Roman"/>
        </w:rPr>
      </w:pPr>
      <w:r w:rsidRPr="007B768F">
        <w:rPr>
          <w:rFonts w:ascii="Times New Roman" w:hAnsi="Times New Roman"/>
        </w:rPr>
        <w:t>Ośrodka Aplikacji Sędziowskiej</w:t>
      </w:r>
    </w:p>
    <w:p w:rsidR="007B768F" w:rsidRPr="007B768F" w:rsidRDefault="007B768F" w:rsidP="007B768F">
      <w:pPr>
        <w:spacing w:line="240" w:lineRule="auto"/>
        <w:ind w:left="3538"/>
        <w:jc w:val="center"/>
        <w:rPr>
          <w:rFonts w:ascii="Times New Roman" w:hAnsi="Times New Roman"/>
        </w:rPr>
      </w:pPr>
      <w:r w:rsidRPr="007B768F">
        <w:rPr>
          <w:rFonts w:ascii="Times New Roman" w:hAnsi="Times New Roman"/>
        </w:rPr>
        <w:t xml:space="preserve">  dr Agnieszka Pilch</w:t>
      </w:r>
    </w:p>
    <w:p w:rsidR="007B768F" w:rsidRPr="007B768F" w:rsidRDefault="007B768F" w:rsidP="007B768F">
      <w:pPr>
        <w:spacing w:line="240" w:lineRule="auto"/>
        <w:ind w:left="3540"/>
        <w:jc w:val="center"/>
        <w:rPr>
          <w:rFonts w:ascii="Times New Roman" w:hAnsi="Times New Roman"/>
        </w:rPr>
      </w:pPr>
      <w:r w:rsidRPr="007B768F">
        <w:rPr>
          <w:rFonts w:ascii="Times New Roman" w:hAnsi="Times New Roman"/>
        </w:rPr>
        <w:t xml:space="preserve">   sędzia</w:t>
      </w:r>
    </w:p>
    <w:p w:rsidR="007C3A8C" w:rsidRDefault="007C3A8C" w:rsidP="007C3A8C">
      <w:pPr>
        <w:spacing w:line="360" w:lineRule="auto"/>
        <w:ind w:firstLine="708"/>
        <w:jc w:val="both"/>
      </w:pPr>
    </w:p>
    <w:p w:rsidR="007C3A8C" w:rsidRDefault="007C3A8C" w:rsidP="007C3A8C"/>
    <w:p w:rsidR="00775A12" w:rsidRDefault="00753821"/>
    <w:sectPr w:rsidR="00775A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0892"/>
    <w:multiLevelType w:val="hybridMultilevel"/>
    <w:tmpl w:val="FC42F622"/>
    <w:lvl w:ilvl="0" w:tplc="138086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0F3B21"/>
    <w:multiLevelType w:val="hybridMultilevel"/>
    <w:tmpl w:val="F8EE73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603310"/>
    <w:multiLevelType w:val="hybridMultilevel"/>
    <w:tmpl w:val="2E66781C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9A5320"/>
    <w:multiLevelType w:val="hybridMultilevel"/>
    <w:tmpl w:val="73225768"/>
    <w:lvl w:ilvl="0" w:tplc="356CC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8C"/>
    <w:rsid w:val="000A2530"/>
    <w:rsid w:val="002A77D9"/>
    <w:rsid w:val="00324A55"/>
    <w:rsid w:val="003902FA"/>
    <w:rsid w:val="00597683"/>
    <w:rsid w:val="006E6B11"/>
    <w:rsid w:val="007007FA"/>
    <w:rsid w:val="00753821"/>
    <w:rsid w:val="007B6F11"/>
    <w:rsid w:val="007B768F"/>
    <w:rsid w:val="007C3A8C"/>
    <w:rsid w:val="007F2690"/>
    <w:rsid w:val="00877AC5"/>
    <w:rsid w:val="00D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A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7C3A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C3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C3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Semeniuk</dc:creator>
  <cp:lastModifiedBy>Magdalena Izdebska</cp:lastModifiedBy>
  <cp:revision>2</cp:revision>
  <dcterms:created xsi:type="dcterms:W3CDTF">2021-01-28T11:00:00Z</dcterms:created>
  <dcterms:modified xsi:type="dcterms:W3CDTF">2021-01-28T11:00:00Z</dcterms:modified>
</cp:coreProperties>
</file>