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D5" w:rsidRPr="00102CD5" w:rsidRDefault="00102CD5" w:rsidP="00102CD5">
      <w:pPr>
        <w:suppressAutoHyphens/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02CD5" w:rsidRPr="00102CD5" w:rsidRDefault="00102CD5" w:rsidP="00102CD5">
      <w:pPr>
        <w:suppressAutoHyphens/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2C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Kraków, dnia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13 listopada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2019 r.</w:t>
      </w:r>
    </w:p>
    <w:p w:rsidR="00102CD5" w:rsidRPr="00102CD5" w:rsidRDefault="00102CD5" w:rsidP="00102CD5">
      <w:pPr>
        <w:suppressAutoHyphens/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02CD5" w:rsidRPr="00102CD5" w:rsidRDefault="00102CD5" w:rsidP="00102C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2CD5">
        <w:rPr>
          <w:rFonts w:ascii="Times New Roman" w:eastAsia="Times New Roman" w:hAnsi="Times New Roman" w:cs="Times New Roman"/>
          <w:sz w:val="24"/>
          <w:szCs w:val="24"/>
          <w:lang w:eastAsia="zh-CN"/>
        </w:rPr>
        <w:t>OAP-II.420.2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zh-CN"/>
        </w:rPr>
        <w:t>.2019</w:t>
      </w:r>
    </w:p>
    <w:p w:rsidR="00102CD5" w:rsidRPr="00102CD5" w:rsidRDefault="00102CD5" w:rsidP="00C8715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02CD5" w:rsidRPr="00102CD5" w:rsidRDefault="00102CD5" w:rsidP="00102CD5">
      <w:pPr>
        <w:suppressAutoHyphens/>
        <w:spacing w:after="0" w:line="360" w:lineRule="auto"/>
        <w:ind w:left="3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02CD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Patroni Koordynatorzy</w:t>
      </w:r>
    </w:p>
    <w:p w:rsidR="00102CD5" w:rsidRPr="00102CD5" w:rsidRDefault="00102CD5" w:rsidP="00102CD5">
      <w:pPr>
        <w:suppressAutoHyphens/>
        <w:spacing w:after="0" w:line="360" w:lineRule="auto"/>
        <w:ind w:left="324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02CD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oraz Patroni Praktyk</w:t>
      </w:r>
    </w:p>
    <w:p w:rsidR="00102CD5" w:rsidRPr="00102CD5" w:rsidRDefault="00102CD5" w:rsidP="00102CD5">
      <w:pPr>
        <w:suppressAutoHyphens/>
        <w:spacing w:after="0" w:line="360" w:lineRule="auto"/>
        <w:ind w:left="3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02CD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aplikantów aplikacji prokuratorskiej</w:t>
      </w:r>
    </w:p>
    <w:p w:rsidR="00102CD5" w:rsidRPr="00102CD5" w:rsidRDefault="00102CD5" w:rsidP="00102CD5">
      <w:pPr>
        <w:suppressAutoHyphens/>
        <w:spacing w:after="0" w:line="360" w:lineRule="auto"/>
        <w:ind w:left="32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02CD5" w:rsidRPr="00102CD5" w:rsidRDefault="00102CD5" w:rsidP="00102CD5">
      <w:pPr>
        <w:suppressAutoHyphens/>
        <w:spacing w:after="0" w:line="360" w:lineRule="auto"/>
        <w:ind w:left="3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02C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102CD5" w:rsidRPr="00102CD5" w:rsidRDefault="00102CD5" w:rsidP="00102CD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02CD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Dotyczy praktyk aplikantów aplikacji prokuratorskiej 9. rocznika po XX zjeździe</w:t>
      </w:r>
    </w:p>
    <w:p w:rsidR="00102CD5" w:rsidRPr="00102CD5" w:rsidRDefault="00102CD5" w:rsidP="00C8715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02CD5" w:rsidRPr="00102CD5" w:rsidRDefault="00102CD5" w:rsidP="00102CD5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oparciu o § 2, 9 i 10 zarządzenia Dyrektora Krajowej Szkoły Sądownictwa 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i Prokuratury w Krakowie Nr 132/2019 z dnia 15 marca 2019 roku w sprawie szczegółowych zasad odbywania praktyki przez aplikantów aplikacji sędziowskiej, prokuratorskiej oraz ogólnej (tekst ujednolicony), uprzejmie przedstawiam szczegółowy zakres tematyczny, który powinien być przedmiotem praktyk aplikantów aplikacji prokuratorskiej, 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>odbywanych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prokuraturach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rejonowych 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prokuratorów wykonujących zadania z zakresu prawa cywilnego ( w okresie 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 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 2019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10 stycznia 2020 roku) oraz w sądach rejonowych – wydziałach cywilnych procesowych (w okresie od 13 do 17 stycznia 2020 roku</w:t>
      </w:r>
      <w:r w:rsidR="00C8715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02CD5" w:rsidRPr="00102CD5" w:rsidRDefault="00102CD5" w:rsidP="00102CD5">
      <w:pPr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Zasadniczym celem praktyk jest zaznajomienie aplikantów z czynnościami i metodyką pracy patrona oraz doskonalenie umiejętności wykorzystania wiedzy teoretycznej i znajomości orzecznictwa. Każdorazowo praktyka winna utrwalić wiedzę zdobytą podczas bezpośrednio poprzedzających ją zajęć seminaryjnych w ramach zjazdu. </w:t>
      </w:r>
    </w:p>
    <w:p w:rsidR="00EB2552" w:rsidRDefault="00102CD5" w:rsidP="00EB2552">
      <w:pPr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X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 zjazdu aplikacji prokuratorskiej odbywającego się w dniach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16-20 grudnia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r. są następujące zagadnienia:</w:t>
      </w:r>
    </w:p>
    <w:p w:rsidR="00EB2552" w:rsidRPr="00EB2552" w:rsidRDefault="00256528" w:rsidP="00EB2552">
      <w:pPr>
        <w:pStyle w:val="Akapitzlist"/>
        <w:numPr>
          <w:ilvl w:val="0"/>
          <w:numId w:val="7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552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pl-PL"/>
        </w:rPr>
        <w:t>Wybrane zagadnienia związane z udziałem prokuratora w postępowaniu cywilnym.</w:t>
      </w:r>
    </w:p>
    <w:p w:rsidR="00256528" w:rsidRPr="00EB2552" w:rsidRDefault="00256528" w:rsidP="00EB2552">
      <w:pPr>
        <w:spacing w:before="120" w:after="12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Zdolność prawna i zdolność do czynności prawnych. Forma czynności prawnych. Wady oświadczenia woli. Nieważność a bezskuteczność czynności prawnych. Skarga </w:t>
      </w:r>
      <w:proofErr w:type="spellStart"/>
      <w:r w:rsidRPr="00EB2552">
        <w:rPr>
          <w:rFonts w:ascii="Times New Roman" w:eastAsia="Times New Roman" w:hAnsi="Times New Roman" w:cs="Times New Roman"/>
          <w:sz w:val="24"/>
          <w:szCs w:val="24"/>
          <w:lang w:eastAsia="pl-PL"/>
        </w:rPr>
        <w:t>pauliańska</w:t>
      </w:r>
      <w:proofErr w:type="spellEnd"/>
      <w:r w:rsidRPr="00EB2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Roszczenie o uznanie umowy za bezskuteczną ( art. 59 k.c.). Istota zobowiązania. Zasada </w:t>
      </w:r>
      <w:r w:rsidRPr="00EB25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swobody umów i jej granice. Odpowiedzialność z tytułu czynów niedozwolonych (art. 415 k.c., art. 444 k.c., art. 445 k.c. i art.448 k.c.)</w:t>
      </w:r>
    </w:p>
    <w:p w:rsidR="00256528" w:rsidRPr="00B975D7" w:rsidRDefault="00256528" w:rsidP="00B975D7">
      <w:pPr>
        <w:pStyle w:val="Akapitzlist"/>
        <w:keepNext/>
        <w:numPr>
          <w:ilvl w:val="0"/>
          <w:numId w:val="7"/>
        </w:numPr>
        <w:spacing w:before="360"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5D7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pl-PL"/>
        </w:rPr>
        <w:t>Pozew jako pismo procesowe wszczynające proces cywilny</w:t>
      </w:r>
    </w:p>
    <w:p w:rsidR="00256528" w:rsidRDefault="00256528" w:rsidP="002565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85A"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Elementy konieczne pozwu. Wniosek o udzielenie zabezpieczenia – przede wszystkim w sprawach z tytułu czynów niedozwolonych. Zwrot, odrzucenie i cofnięcie pozwu. Rodzaje powództw ze szczególnym uwzględnieniem art.189 k.p.c. i art. 10 ustawy o księgach wieczystych i hipotece. Odpowiednie stosowanie przepisów o pozwie do wniosku w postępowaniu nieprocesowym. Zasada koncentracji materiału procesowego. Związanie sądu cywilnego prawomocnym wyrokiem karnym na podstawie art. 11 k.p.c. Rozkład ciężaru dowodu w post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ępowaniu cywilnym (art. 6 k.c.).</w:t>
      </w:r>
    </w:p>
    <w:p w:rsidR="00C87152" w:rsidRDefault="00C87152" w:rsidP="002565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6528" w:rsidRPr="00256528" w:rsidRDefault="00256528" w:rsidP="00B975D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528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pl-PL"/>
        </w:rPr>
        <w:t>Udział prokuratora w sprawach z zakresu postępowania cywilnego</w:t>
      </w:r>
    </w:p>
    <w:p w:rsidR="00256528" w:rsidRDefault="00256528" w:rsidP="002565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85A">
        <w:rPr>
          <w:rFonts w:ascii="Times New Roman" w:eastAsia="Times New Roman" w:hAnsi="Times New Roman" w:cs="Times New Roman"/>
          <w:sz w:val="24"/>
          <w:szCs w:val="24"/>
          <w:lang w:eastAsia="pl-PL"/>
        </w:rPr>
        <w:t>Normatywne podstawy, przesłanki i formy udziału prokuratora w postępowaniu cywilnym. Procesowa i materialno-prawna legitymacja prokuratora do wszczęcia postępowania cywilnego. Powództwa na rzecz oznaczonej osoby (w tym skutki wstąpienia tej osoby do procesu). Powództwa przeciwko wszystkim podmiotom stosunku prawnego. Powództwa prokuratora w sprawach niemajątkowych z zakresu prawa rodzinnego. Powaga rzeczy osądzonej w sprawie z powództwa prokuratora. Inicjowanie postępowań nieprocesowych przewidzianych w regulacjach kodeksowych i regulacjach szczególnych. Wstąpienie prokuratora do postępowań cywilnych wszczętych przez inne podmioty (obowiązki sądu, pozycja prokuratora i jej procesowe konsekwencje, odstąpienie od udziału w sprawie). Zasady i tryb zawiadamiania prokuratora przez sąd o toczących się postępowaniach cywilnych. Regulacje dotyczące udziału prokuratora w postępowaniu cywilnym zawarte w przepisach Regulaminu wewnętrznego urzędowania powszechnych jednos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tek organizacyjnych prokuratury.</w:t>
      </w:r>
    </w:p>
    <w:p w:rsidR="00C87152" w:rsidRDefault="00C87152" w:rsidP="002565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6528" w:rsidRPr="00256528" w:rsidRDefault="00256528" w:rsidP="00B975D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528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pl-PL"/>
        </w:rPr>
        <w:t>Wszczęcie postępowania procesowego jako jedna z form udziału prokuratora w postępowaniu cywilnym</w:t>
      </w:r>
    </w:p>
    <w:p w:rsidR="00256528" w:rsidRPr="00B1685A" w:rsidRDefault="00256528" w:rsidP="0025652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1685A">
        <w:rPr>
          <w:rFonts w:ascii="Times New Roman" w:eastAsia="Times New Roman" w:hAnsi="Times New Roman" w:cs="Times New Roman"/>
          <w:sz w:val="24"/>
          <w:szCs w:val="24"/>
          <w:lang w:eastAsia="pl-PL"/>
        </w:rPr>
        <w:t>Powództwa niesamodzielne prokuratora, wytaczane na rzecz oznaczonej osoby (pozew o zapłatę, o przepadek świadczenia, o uznanie za niegodnego dziedziczenia, powództwa regresowe wytaczane na podstawie regulacji pozakodeksowych przy zastosowaniu art. 55 k.p.c.).</w:t>
      </w:r>
    </w:p>
    <w:p w:rsidR="00256528" w:rsidRPr="00256528" w:rsidRDefault="00102CD5" w:rsidP="00256528">
      <w:pPr>
        <w:widowControl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D5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lastRenderedPageBreak/>
        <w:t xml:space="preserve">  Celem praktyki aplikantów 9. rocznika</w:t>
      </w:r>
      <w:r w:rsidR="00256528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 xml:space="preserve"> aplikacji prokuratorskiej po X</w:t>
      </w:r>
      <w:r w:rsidRPr="00102CD5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>X zjeździe</w:t>
      </w:r>
      <w:r w:rsidR="00256528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 xml:space="preserve"> odbywanych </w:t>
      </w:r>
      <w:r w:rsidR="00256528" w:rsidRPr="00256528">
        <w:rPr>
          <w:rFonts w:ascii="Times New Roman" w:eastAsia="Calibri" w:hAnsi="Times New Roman" w:cs="Times New Roman"/>
          <w:b/>
          <w:kern w:val="144"/>
          <w:sz w:val="24"/>
          <w:szCs w:val="24"/>
          <w:lang w:eastAsia="pl-PL"/>
        </w:rPr>
        <w:t>w prokuraturach rejonowych</w:t>
      </w:r>
      <w:r w:rsidR="00B975D7">
        <w:rPr>
          <w:rFonts w:ascii="Times New Roman" w:eastAsia="Calibri" w:hAnsi="Times New Roman" w:cs="Times New Roman"/>
          <w:b/>
          <w:kern w:val="144"/>
          <w:sz w:val="24"/>
          <w:szCs w:val="24"/>
          <w:lang w:eastAsia="pl-PL"/>
        </w:rPr>
        <w:t xml:space="preserve"> (</w:t>
      </w:r>
      <w:r w:rsidR="00C87152">
        <w:rPr>
          <w:rFonts w:ascii="Times New Roman" w:eastAsia="Calibri" w:hAnsi="Times New Roman" w:cs="Times New Roman"/>
          <w:b/>
          <w:kern w:val="144"/>
          <w:sz w:val="24"/>
          <w:szCs w:val="24"/>
          <w:lang w:eastAsia="pl-PL"/>
        </w:rPr>
        <w:t>u prokuratorów</w:t>
      </w:r>
      <w:r w:rsidR="00B975D7">
        <w:rPr>
          <w:rFonts w:ascii="Times New Roman" w:eastAsia="Calibri" w:hAnsi="Times New Roman" w:cs="Times New Roman"/>
          <w:b/>
          <w:kern w:val="144"/>
          <w:sz w:val="24"/>
          <w:szCs w:val="24"/>
          <w:lang w:eastAsia="pl-PL"/>
        </w:rPr>
        <w:t xml:space="preserve"> wykonujący zadania </w:t>
      </w:r>
      <w:r w:rsidR="00C87152">
        <w:rPr>
          <w:rFonts w:ascii="Times New Roman" w:eastAsia="Calibri" w:hAnsi="Times New Roman" w:cs="Times New Roman"/>
          <w:b/>
          <w:kern w:val="144"/>
          <w:sz w:val="24"/>
          <w:szCs w:val="24"/>
          <w:lang w:eastAsia="pl-PL"/>
        </w:rPr>
        <w:br/>
      </w:r>
      <w:r w:rsidR="00B975D7">
        <w:rPr>
          <w:rFonts w:ascii="Times New Roman" w:eastAsia="Calibri" w:hAnsi="Times New Roman" w:cs="Times New Roman"/>
          <w:b/>
          <w:kern w:val="144"/>
          <w:sz w:val="24"/>
          <w:szCs w:val="24"/>
          <w:lang w:eastAsia="pl-PL"/>
        </w:rPr>
        <w:t>z zakresu prawa cywilnego)</w:t>
      </w:r>
      <w:r w:rsidRPr="00102CD5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 xml:space="preserve"> jest</w:t>
      </w:r>
      <w:r w:rsidR="00256528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 xml:space="preserve"> </w:t>
      </w:r>
      <w:r w:rsidR="00256528" w:rsidRPr="00B16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zapoznanie </w:t>
      </w:r>
      <w:r w:rsidR="00256528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="00256528" w:rsidRPr="00B16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czynnościami z zakresu prawa cywilnego podejmowanymi przez prokuratorów– ze szczególnym uwzględnieniem działań w sprawach, w których prokurator wytaczał powództwo. Sporządzanie tego rodzaju pism. Prowadzenie czynności wyjaśniających oraz gromadzenie niezbędnych dowodów w celu wykazania istnienia przesłanek materialno-prawnych do wytoczenia powództwa. Wykorzystywanie materiałów dowodowych zebranych w sprawach karnych do działań na odcinku cywilnym</w:t>
      </w:r>
      <w:r w:rsidRPr="00102CD5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 xml:space="preserve"> </w:t>
      </w:r>
    </w:p>
    <w:p w:rsidR="00256528" w:rsidRPr="00256528" w:rsidRDefault="00256528" w:rsidP="00256528">
      <w:pPr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528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praktyk aplikanci powinni również nabyć praktyczne umiejętności, obejmujące:</w:t>
      </w:r>
    </w:p>
    <w:p w:rsidR="00256528" w:rsidRPr="00256528" w:rsidRDefault="00256528" w:rsidP="00256528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256528">
        <w:rPr>
          <w:rFonts w:ascii="Times New Roman" w:eastAsia="Times New Roman" w:hAnsi="Times New Roman" w:cs="Times New Roman"/>
          <w:sz w:val="24"/>
          <w:szCs w:val="24"/>
          <w:lang w:eastAsia="pl-PL"/>
        </w:rPr>
        <w:t>najomość zasad rejestracji spraw cywilnych w prokuraturze poprzez zapoznanie się z urządzeniami rejestrowymi, sposobem dekretowania spraw, techniką wyłączania materiałów z postępowania karnego, zakładania akt nowej sprawy „</w:t>
      </w:r>
      <w:proofErr w:type="spellStart"/>
      <w:r w:rsidRPr="00256528">
        <w:rPr>
          <w:rFonts w:ascii="Times New Roman" w:eastAsia="Times New Roman" w:hAnsi="Times New Roman" w:cs="Times New Roman"/>
          <w:sz w:val="24"/>
          <w:szCs w:val="24"/>
          <w:lang w:eastAsia="pl-PL"/>
        </w:rPr>
        <w:t>Pc</w:t>
      </w:r>
      <w:proofErr w:type="spellEnd"/>
      <w:r w:rsidRPr="00256528">
        <w:rPr>
          <w:rFonts w:ascii="Times New Roman" w:eastAsia="Times New Roman" w:hAnsi="Times New Roman" w:cs="Times New Roman"/>
          <w:sz w:val="24"/>
          <w:szCs w:val="24"/>
          <w:lang w:eastAsia="pl-PL"/>
        </w:rPr>
        <w:t>” i zasad jej wykreślania z urządzeń ewidencyjnych jako sprawy zakończonej;</w:t>
      </w:r>
    </w:p>
    <w:p w:rsidR="00256528" w:rsidRDefault="00256528" w:rsidP="00256528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256528">
        <w:rPr>
          <w:rFonts w:ascii="Times New Roman" w:eastAsia="Times New Roman" w:hAnsi="Times New Roman" w:cs="Times New Roman"/>
          <w:sz w:val="24"/>
          <w:szCs w:val="24"/>
          <w:lang w:eastAsia="pl-PL"/>
        </w:rPr>
        <w:t>rzygotowywanie projektu planu czynności podejmowanych przez prokuratora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reakcji na wniosek stron o podjęcie czynności w trybie postępowania cywilnego oraz w sprawach podejmowanych przez prokuratora z urzędu w związku </w:t>
      </w:r>
      <w:r w:rsidR="00C871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wyłączeniem – na odcinek postępowania cywilnego – materiałów </w:t>
      </w:r>
      <w:r w:rsidR="00C871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528">
        <w:rPr>
          <w:rFonts w:ascii="Times New Roman" w:eastAsia="Times New Roman" w:hAnsi="Times New Roman" w:cs="Times New Roman"/>
          <w:sz w:val="24"/>
          <w:szCs w:val="24"/>
          <w:lang w:eastAsia="pl-PL"/>
        </w:rPr>
        <w:t>z prowadzonych bądź nadzorowanych spraw karnych;</w:t>
      </w:r>
    </w:p>
    <w:p w:rsidR="00256528" w:rsidRDefault="00256528" w:rsidP="00256528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256528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pracowywanie projektów odezw (z uwzględnieniem podstawy prawnej) kierowanych w takich sprawach do właściwych organów/instytucji o nadesłanie dokumentów, które mogą być niezbędne do prawidłowego rozpoznania sprawy (np. akty stanu cywilnego, dokumenty leczenia, zaświadczenia o rozpoznanej chorobie psychicznej, niedorozwoju umysłowym lub uzależnieniu, akta sądowe itp.);</w:t>
      </w:r>
    </w:p>
    <w:p w:rsidR="00256528" w:rsidRDefault="00256528" w:rsidP="00256528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256528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zgromadzonego w sprawie materiału dowodowego pod kątem podjęcia decyzji końcowej dotyczącej sposobu załatwienia sprawy, tj. ustalenia, czy zaistniały przesłanki formalne i materialno-prawne w celu ustalenia do zainicjowania postępowania sądowego poprzez skierowanie pozwu lub wniosku, czy zaistniały w sprawie podstawy do wstąpienia – na podstawie art. 7 k.p.c. i art. 60 § 1 k.p.c. – do toczącego się już postępowania sądowego;</w:t>
      </w:r>
    </w:p>
    <w:p w:rsidR="00256528" w:rsidRDefault="00256528" w:rsidP="00256528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256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pracowanie, stosownie do poczynionych ustaleń, projektu właściwego pisma inicjującego postępowanie sądowe (pozwu lub wniosku), jak również projektu odpowiedzi do zainteresowanego o braku przesłanek formalnych i materialnych do wywiedzenia wyżej wymienionych środków prawnych, bądź o braku podstaw </w:t>
      </w:r>
      <w:r w:rsidRPr="002565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prawnych do zgłoszenia przez prokuratora udziału w postepowaniu toczącym się przed sądem, wszczętym przez osoby uprawnione.</w:t>
      </w:r>
    </w:p>
    <w:p w:rsidR="00256528" w:rsidRDefault="00256528" w:rsidP="00256528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D5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>Celem praktyki aplikantów 9. rocznika</w:t>
      </w:r>
      <w:r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 xml:space="preserve"> aplikacji prokuratorskiej po X</w:t>
      </w:r>
      <w:r w:rsidRPr="00102CD5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>X zjeździe</w:t>
      </w:r>
      <w:r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 xml:space="preserve"> odbywanych </w:t>
      </w:r>
      <w:r w:rsidRPr="00256528">
        <w:rPr>
          <w:rFonts w:ascii="Times New Roman" w:eastAsia="Calibri" w:hAnsi="Times New Roman" w:cs="Times New Roman"/>
          <w:b/>
          <w:kern w:val="144"/>
          <w:sz w:val="24"/>
          <w:szCs w:val="24"/>
          <w:lang w:eastAsia="pl-PL"/>
        </w:rPr>
        <w:t xml:space="preserve">w </w:t>
      </w:r>
      <w:r>
        <w:rPr>
          <w:rFonts w:ascii="Times New Roman" w:eastAsia="Calibri" w:hAnsi="Times New Roman" w:cs="Times New Roman"/>
          <w:b/>
          <w:kern w:val="144"/>
          <w:sz w:val="24"/>
          <w:szCs w:val="24"/>
          <w:lang w:eastAsia="pl-PL"/>
        </w:rPr>
        <w:t>sądach rejonowych – wydziałach cywilnych procesowych</w:t>
      </w:r>
      <w:r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 xml:space="preserve"> </w:t>
      </w:r>
      <w:r w:rsidRPr="00102CD5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 xml:space="preserve"> jest</w:t>
      </w:r>
      <w:r w:rsidRPr="00256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685A">
        <w:rPr>
          <w:rFonts w:ascii="Times New Roman" w:eastAsia="Times New Roman" w:hAnsi="Times New Roman" w:cs="Times New Roman"/>
          <w:sz w:val="24"/>
          <w:szCs w:val="24"/>
          <w:lang w:eastAsia="pl-PL"/>
        </w:rPr>
        <w:t>zaznajomienie aplikantów z czynnościami i metodyką pracy sędziego pod kątem ugruntowania wiedzy zdobytej podczas zjazdu</w:t>
      </w:r>
      <w:r w:rsidR="004C263E">
        <w:rPr>
          <w:rFonts w:ascii="Times New Roman" w:eastAsia="Times New Roman" w:hAnsi="Times New Roman" w:cs="Times New Roman"/>
          <w:sz w:val="24"/>
          <w:szCs w:val="24"/>
          <w:lang w:eastAsia="pl-PL"/>
        </w:rPr>
        <w:t>, w szczególności:</w:t>
      </w:r>
    </w:p>
    <w:p w:rsidR="00EB2552" w:rsidRDefault="00EB2552" w:rsidP="00EB255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552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zapoznać aplika</w:t>
      </w:r>
      <w:r w:rsidR="00D8529D">
        <w:rPr>
          <w:rFonts w:ascii="Times New Roman" w:eastAsia="Times New Roman" w:hAnsi="Times New Roman" w:cs="Times New Roman"/>
          <w:sz w:val="24"/>
          <w:szCs w:val="24"/>
          <w:lang w:eastAsia="pl-PL"/>
        </w:rPr>
        <w:t>ntów z zagadnieniami dotyczącymi</w:t>
      </w:r>
      <w:r w:rsidRPr="00EB2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reprezentacji, wad oświadczenia woli i wad czynn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ości prawnych oraz ich skutków;</w:t>
      </w:r>
    </w:p>
    <w:p w:rsidR="00EB2552" w:rsidRDefault="00EB2552" w:rsidP="00EB255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B2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ależy zwrócić uwagę na ocenę ważności czynności prawnej, aktywność sądu w tym zakresie, na ocenę bezskuteczności czynności, w tym na instytucję skargi </w:t>
      </w:r>
      <w:proofErr w:type="spellStart"/>
      <w:r w:rsidRPr="00EB2552">
        <w:rPr>
          <w:rFonts w:ascii="Times New Roman" w:eastAsia="Times New Roman" w:hAnsi="Times New Roman" w:cs="Times New Roman"/>
          <w:sz w:val="24"/>
          <w:szCs w:val="24"/>
          <w:lang w:eastAsia="pl-PL"/>
        </w:rPr>
        <w:t>pauliańskiej</w:t>
      </w:r>
      <w:proofErr w:type="spellEnd"/>
      <w:r w:rsidRPr="00EB2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instytucję z art. 59 k.c., a także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ich rozróżniania;</w:t>
      </w:r>
    </w:p>
    <w:p w:rsidR="00D8529D" w:rsidRDefault="00D8529D" w:rsidP="00EB255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istotnym jest zapoznanie aplikantów z istotą zobowiązania, zasadą swobody umów oraz odpowiedzialnością z tytułu czynów niedozwolonych na przykładzie konkretnych spraw podlegających analizie i omówieniu z patronem;</w:t>
      </w:r>
    </w:p>
    <w:p w:rsidR="00EB2552" w:rsidRDefault="00EB2552" w:rsidP="00EB255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B2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plikanci w trakcie praktyki powinni przede wszystkim być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zapoznawani z czynności dotyczącymi</w:t>
      </w:r>
      <w:r w:rsidRPr="00EB2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badania pozwu pod względem formalnym i fiskalnym,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 zmierzającymi</w:t>
      </w:r>
      <w:r w:rsidRPr="00EB2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usunięcia braków formalnych, bądź braku opłaty sądowej, czy zaliczki na wydatki (np. zaliczki w celu przetłumaczenia pozwu doręczanego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granicę)</w:t>
      </w:r>
      <w:r w:rsidR="00AA3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powinni także mieć możliwość zapoznania się z różnego rodzaju pozwami ze szczególnym uwzględnieniem art. 189 </w:t>
      </w:r>
      <w:proofErr w:type="spellStart"/>
      <w:r w:rsidR="00AA3205">
        <w:rPr>
          <w:rFonts w:ascii="Times New Roman" w:eastAsia="Times New Roman" w:hAnsi="Times New Roman" w:cs="Times New Roman"/>
          <w:sz w:val="24"/>
          <w:szCs w:val="24"/>
          <w:lang w:eastAsia="pl-PL"/>
        </w:rPr>
        <w:t>k.p.c</w:t>
      </w:r>
      <w:proofErr w:type="spellEnd"/>
      <w:r w:rsidR="00AA3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art. 10 ustawy o księgach wieczystych </w:t>
      </w:r>
      <w:r w:rsidR="00C871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A3205">
        <w:rPr>
          <w:rFonts w:ascii="Times New Roman" w:eastAsia="Times New Roman" w:hAnsi="Times New Roman" w:cs="Times New Roman"/>
          <w:sz w:val="24"/>
          <w:szCs w:val="24"/>
          <w:lang w:eastAsia="pl-PL"/>
        </w:rPr>
        <w:t>i hipotece;</w:t>
      </w:r>
      <w:r w:rsidR="00406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715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prowadzić analizę</w:t>
      </w:r>
      <w:r w:rsidR="00406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 z powództwa/ wniosku prokuratora oraz spraw, </w:t>
      </w:r>
      <w:r w:rsidR="00C871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7679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06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których prokurator wstąpił do toczącego się postepowania</w:t>
      </w:r>
      <w:r w:rsidR="00C8715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A3205" w:rsidRDefault="00AA3205" w:rsidP="00EB255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aplikanci powinni być także zaznajomieni z zasadami prowadzenia postepowania dowodowego w sprawach cywilnych, w tym z zasadą koncentracji materiału procesowego oraz zasad</w:t>
      </w:r>
      <w:r w:rsidR="00C8715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związania sądu cywilnego prawomocnym wyrokiem karnym na podstawie art. 11 k.p.c., a także z rozkładem ciężaru dowodu w postepowaniu cywilnym;</w:t>
      </w:r>
    </w:p>
    <w:p w:rsidR="00EB2552" w:rsidRDefault="00AA3205" w:rsidP="00EB255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EB2552" w:rsidRPr="00EB2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adto aplikanci winni być </w:t>
      </w:r>
      <w:r w:rsidR="00D8529D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zapoznawani z</w:t>
      </w:r>
      <w:r w:rsidR="00EB2552" w:rsidRPr="00EB2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529D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czynnościami obejmującymi</w:t>
      </w:r>
      <w:r w:rsidR="00EB2552" w:rsidRPr="00EB2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badanie właściwości sądu, wartości przedmiotu sporu, zdolności sądowej i procesowej, występowania przeszk</w:t>
      </w:r>
      <w:r w:rsidR="00D8529D">
        <w:rPr>
          <w:rFonts w:ascii="Times New Roman" w:eastAsia="Times New Roman" w:hAnsi="Times New Roman" w:cs="Times New Roman"/>
          <w:sz w:val="24"/>
          <w:szCs w:val="24"/>
          <w:lang w:eastAsia="pl-PL"/>
        </w:rPr>
        <w:t>ód procesowych; p</w:t>
      </w:r>
      <w:r w:rsidR="00EB2552" w:rsidRPr="00EB2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atron praktyki powinien dołożyć szczególnych starań, aby </w:t>
      </w:r>
      <w:r w:rsidR="00D8529D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zapoznać</w:t>
      </w:r>
      <w:r w:rsidR="00EB2552" w:rsidRPr="00EB2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aplikantów </w:t>
      </w:r>
      <w:r w:rsidR="00D8529D">
        <w:rPr>
          <w:rFonts w:ascii="Times New Roman" w:eastAsia="Times New Roman" w:hAnsi="Times New Roman" w:cs="Times New Roman"/>
          <w:sz w:val="24"/>
          <w:szCs w:val="24"/>
          <w:lang w:eastAsia="pl-PL"/>
        </w:rPr>
        <w:t>z metodyką prowadzenia</w:t>
      </w:r>
      <w:r w:rsidR="00EB2552" w:rsidRPr="00EB2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postępowania po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płynięciu pozwu</w:t>
      </w:r>
      <w:r w:rsidR="00EB2552" w:rsidRPr="00EB2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B2552" w:rsidRPr="00EB2552" w:rsidRDefault="00EB2552" w:rsidP="00EB25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5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związku z powyższym zaleca się, aby aplikanci w trakcie praktyki zapoznawali się z konkretnymi sprawami z wyżej wymienionego zakresu i aby powierzano im jak największą liczbę czynności, które </w:t>
      </w:r>
      <w:r w:rsidR="00AA3205">
        <w:rPr>
          <w:rFonts w:ascii="Times New Roman" w:eastAsia="Times New Roman" w:hAnsi="Times New Roman" w:cs="Times New Roman"/>
          <w:sz w:val="24"/>
          <w:szCs w:val="24"/>
          <w:lang w:eastAsia="pl-PL"/>
        </w:rPr>
        <w:t>pozwolą na prawidłowe sporządzanie pozwów i wniosków.</w:t>
      </w:r>
    </w:p>
    <w:p w:rsidR="00102CD5" w:rsidRPr="00102CD5" w:rsidRDefault="00102CD5" w:rsidP="00AA3205">
      <w:pPr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Istotnym przy ocenie przez patronów praktyk prac wykonywanych przez aplikantów, zwłaszcza projektów sporządzanych przez nich </w:t>
      </w:r>
      <w:r w:rsidR="00AA3205">
        <w:rPr>
          <w:rFonts w:ascii="Times New Roman" w:eastAsia="Times New Roman" w:hAnsi="Times New Roman" w:cs="Times New Roman"/>
          <w:sz w:val="24"/>
          <w:szCs w:val="24"/>
          <w:lang w:eastAsia="pl-PL"/>
        </w:rPr>
        <w:t>pozwów lub wniosków w sprawach cywilnych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zwracanie uwagi nie tylko na merytoryczną trafność i formalną poprawność samego rozstrzygnięcia, ale i na rodzaj użytej argumentacji, logikę i poprawność językową. Celem przedmiotowej praktyki jest bowiem również wykształcenie u aplikantów umiejętności właściwej oceny prawnej decyzji podejmowanych w toku postępowania w sprawach </w:t>
      </w:r>
      <w:r w:rsidR="00AA3205">
        <w:rPr>
          <w:rFonts w:ascii="Times New Roman" w:eastAsia="Times New Roman" w:hAnsi="Times New Roman" w:cs="Times New Roman"/>
          <w:sz w:val="24"/>
          <w:szCs w:val="24"/>
          <w:lang w:eastAsia="pl-PL"/>
        </w:rPr>
        <w:t>cywilnych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>, obrony własnego stanowiska w sprawie oraz zastosowania prawidłowej argumentacji.</w:t>
      </w:r>
    </w:p>
    <w:p w:rsidR="00102CD5" w:rsidRPr="00102CD5" w:rsidRDefault="00102CD5" w:rsidP="00102CD5">
      <w:pPr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>Uprzejmie informuję, że przedmiotem sprawdzianu wiedzy, który aplikanci będ</w:t>
      </w:r>
      <w:r w:rsidR="00AA3205">
        <w:rPr>
          <w:rFonts w:ascii="Times New Roman" w:eastAsia="Times New Roman" w:hAnsi="Times New Roman" w:cs="Times New Roman"/>
          <w:sz w:val="24"/>
          <w:szCs w:val="24"/>
          <w:lang w:eastAsia="pl-PL"/>
        </w:rPr>
        <w:t>ą pisać po odbyciu praktyk po X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 zjeździe, tj. w dniu </w:t>
      </w:r>
      <w:r w:rsidR="00AA3205">
        <w:rPr>
          <w:rFonts w:ascii="Times New Roman" w:eastAsia="Times New Roman" w:hAnsi="Times New Roman" w:cs="Times New Roman"/>
          <w:sz w:val="24"/>
          <w:szCs w:val="24"/>
          <w:lang w:eastAsia="pl-PL"/>
        </w:rPr>
        <w:t>20 stycznia 2020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będzie sporządzenie </w:t>
      </w:r>
      <w:r w:rsidR="00AA3205">
        <w:rPr>
          <w:rFonts w:ascii="Times New Roman" w:eastAsia="Times New Roman" w:hAnsi="Times New Roman" w:cs="Times New Roman"/>
          <w:sz w:val="24"/>
          <w:szCs w:val="24"/>
          <w:lang w:eastAsia="pl-PL"/>
        </w:rPr>
        <w:t>pozwu przez prokuratora w jednym z typów spraw cywilnych omówionych na XX zjeździe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>. Dlatego ważnym jest, aby aplikanci podczas praktyk opanowali tę umiejętność w jak najwyższym stopniu.</w:t>
      </w:r>
    </w:p>
    <w:p w:rsidR="00102CD5" w:rsidRPr="00102CD5" w:rsidRDefault="00102CD5" w:rsidP="00102CD5">
      <w:pPr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>Zaznaczam na koniec, że patronami aplikantów powinni być wyłącznie prokuratorzy koordynujący w poszczególnych okręgach prowadzenie obrotu prawnego z zagranicą.</w:t>
      </w:r>
    </w:p>
    <w:p w:rsidR="00102CD5" w:rsidRPr="00102CD5" w:rsidRDefault="00102CD5" w:rsidP="00102CD5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02CD5" w:rsidRPr="00102CD5" w:rsidRDefault="00102CD5" w:rsidP="00102CD5">
      <w:pPr>
        <w:suppressAutoHyphens/>
        <w:spacing w:after="0" w:line="240" w:lineRule="auto"/>
        <w:ind w:left="3540"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2CD5">
        <w:rPr>
          <w:rFonts w:ascii="Times New Roman" w:eastAsia="Times New Roman" w:hAnsi="Times New Roman" w:cs="Times New Roman"/>
          <w:sz w:val="24"/>
          <w:szCs w:val="24"/>
          <w:lang w:eastAsia="zh-CN"/>
        </w:rPr>
        <w:t>Kierownik</w:t>
      </w:r>
    </w:p>
    <w:p w:rsidR="00102CD5" w:rsidRPr="00102CD5" w:rsidRDefault="00102CD5" w:rsidP="00102CD5">
      <w:pPr>
        <w:suppressAutoHyphens/>
        <w:spacing w:after="0" w:line="240" w:lineRule="auto"/>
        <w:ind w:left="3540"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2CD5">
        <w:rPr>
          <w:rFonts w:ascii="Times New Roman" w:eastAsia="Times New Roman" w:hAnsi="Times New Roman" w:cs="Times New Roman"/>
          <w:sz w:val="24"/>
          <w:szCs w:val="24"/>
          <w:lang w:eastAsia="zh-CN"/>
        </w:rPr>
        <w:t>Działu Dydaktycznego OAP</w:t>
      </w:r>
    </w:p>
    <w:p w:rsidR="00102CD5" w:rsidRPr="00102CD5" w:rsidRDefault="00102CD5" w:rsidP="00102CD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02CD5" w:rsidRPr="00102CD5" w:rsidRDefault="00102CD5" w:rsidP="00102CD5">
      <w:pPr>
        <w:suppressAutoHyphens/>
        <w:spacing w:after="0" w:line="240" w:lineRule="auto"/>
        <w:ind w:left="3540"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2CD5">
        <w:rPr>
          <w:rFonts w:ascii="Times New Roman" w:eastAsia="Times New Roman" w:hAnsi="Times New Roman" w:cs="Times New Roman"/>
          <w:sz w:val="24"/>
          <w:szCs w:val="24"/>
          <w:lang w:eastAsia="zh-CN"/>
        </w:rPr>
        <w:t>Marta Zin</w:t>
      </w:r>
    </w:p>
    <w:p w:rsidR="00102CD5" w:rsidRPr="00102CD5" w:rsidRDefault="00102CD5" w:rsidP="00102CD5">
      <w:pPr>
        <w:suppressAutoHyphens/>
        <w:spacing w:after="0" w:line="240" w:lineRule="auto"/>
        <w:ind w:left="2832"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2C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prokurator</w:t>
      </w:r>
    </w:p>
    <w:p w:rsidR="00102CD5" w:rsidRPr="00102CD5" w:rsidRDefault="00102CD5" w:rsidP="00102C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5AF6" w:rsidRDefault="005F5AF6"/>
    <w:sectPr w:rsidR="005F5AF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560" w:left="1418" w:header="568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3DC" w:rsidRDefault="005643DC" w:rsidP="00102CD5">
      <w:pPr>
        <w:spacing w:after="0" w:line="240" w:lineRule="auto"/>
      </w:pPr>
      <w:r>
        <w:separator/>
      </w:r>
    </w:p>
  </w:endnote>
  <w:endnote w:type="continuationSeparator" w:id="0">
    <w:p w:rsidR="005643DC" w:rsidRDefault="005643DC" w:rsidP="00102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ECC" w:rsidRDefault="0075555C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C87152">
      <w:rPr>
        <w:noProof/>
      </w:rPr>
      <w:t>5</w:t>
    </w:r>
    <w:r>
      <w:fldChar w:fldCharType="end"/>
    </w:r>
  </w:p>
  <w:p w:rsidR="00CC7ECC" w:rsidRDefault="005643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CC7ECC">
      <w:trPr>
        <w:trHeight w:val="23"/>
      </w:trPr>
      <w:tc>
        <w:tcPr>
          <w:tcW w:w="5099" w:type="dxa"/>
          <w:tcBorders>
            <w:top w:val="thinThickSmallGap" w:sz="12" w:space="0" w:color="000000"/>
          </w:tcBorders>
          <w:shd w:val="clear" w:color="auto" w:fill="auto"/>
        </w:tcPr>
        <w:p w:rsidR="00CC7ECC" w:rsidRDefault="005643DC">
          <w:pPr>
            <w:pStyle w:val="Stopka"/>
            <w:snapToGrid w:val="0"/>
          </w:pPr>
        </w:p>
      </w:tc>
    </w:tr>
  </w:tbl>
  <w:p w:rsidR="00CC7ECC" w:rsidRDefault="00102CD5">
    <w:pPr>
      <w:pStyle w:val="Stopka"/>
      <w:rPr>
        <w:sz w:val="18"/>
        <w:szCs w:val="18"/>
      </w:rPr>
    </w:pPr>
    <w:r>
      <w:rPr>
        <w:sz w:val="18"/>
        <w:szCs w:val="18"/>
      </w:rPr>
      <w:tab/>
    </w:r>
    <w:r w:rsidR="0075555C">
      <w:rPr>
        <w:sz w:val="18"/>
        <w:szCs w:val="18"/>
      </w:rPr>
      <w:t>Krajowa Szkoła Sądownictwa i Prokuratury</w:t>
    </w:r>
  </w:p>
  <w:p w:rsidR="00CC7ECC" w:rsidRDefault="00102CD5">
    <w:pPr>
      <w:pStyle w:val="Stopka"/>
      <w:rPr>
        <w:sz w:val="18"/>
        <w:szCs w:val="18"/>
      </w:rPr>
    </w:pPr>
    <w:r>
      <w:rPr>
        <w:sz w:val="18"/>
        <w:szCs w:val="18"/>
      </w:rPr>
      <w:tab/>
    </w:r>
    <w:r w:rsidR="0075555C">
      <w:rPr>
        <w:sz w:val="18"/>
        <w:szCs w:val="18"/>
      </w:rPr>
      <w:t>ul. Przy Rondzie 5, 31-547 Kraków</w:t>
    </w:r>
  </w:p>
  <w:p w:rsidR="00CC7ECC" w:rsidRDefault="005643DC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3DC" w:rsidRDefault="005643DC" w:rsidP="00102CD5">
      <w:pPr>
        <w:spacing w:after="0" w:line="240" w:lineRule="auto"/>
      </w:pPr>
      <w:r>
        <w:separator/>
      </w:r>
    </w:p>
  </w:footnote>
  <w:footnote w:type="continuationSeparator" w:id="0">
    <w:p w:rsidR="005643DC" w:rsidRDefault="005643DC" w:rsidP="00102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ECC" w:rsidRDefault="0075555C">
    <w:pPr>
      <w:pStyle w:val="Nagwek"/>
      <w:jc w:val="right"/>
    </w:pPr>
    <w:r>
      <w:rPr>
        <w:rFonts w:ascii="Century Gothic" w:hAnsi="Century Gothic" w:cs="Century Gothic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ECC" w:rsidRDefault="0075555C">
    <w:pPr>
      <w:pStyle w:val="Nagwek"/>
      <w:tabs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eastAsia="Century Gothic" w:hAnsi="Century Gothic" w:cs="Century Gothic"/>
        <w:spacing w:val="20"/>
        <w:sz w:val="30"/>
        <w:szCs w:val="30"/>
      </w:rPr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4B2D91C2" wp14:editId="2E3D8B28">
          <wp:simplePos x="0" y="0"/>
          <wp:positionH relativeFrom="column">
            <wp:posOffset>621665</wp:posOffset>
          </wp:positionH>
          <wp:positionV relativeFrom="paragraph">
            <wp:posOffset>-172085</wp:posOffset>
          </wp:positionV>
          <wp:extent cx="499110" cy="474980"/>
          <wp:effectExtent l="0" t="0" r="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4749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7ECC" w:rsidRDefault="0075555C">
    <w:pPr>
      <w:pStyle w:val="Nagwek"/>
      <w:tabs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Century Gothic"/>
        <w:b/>
        <w:spacing w:val="20"/>
        <w:sz w:val="8"/>
        <w:szCs w:val="8"/>
      </w:rPr>
    </w:pPr>
    <w:r>
      <w:rPr>
        <w:rFonts w:ascii="Century Gothic" w:eastAsia="Century Gothic" w:hAnsi="Century Gothic" w:cs="Century Gothic"/>
        <w:b/>
        <w:spacing w:val="20"/>
        <w:sz w:val="30"/>
        <w:szCs w:val="30"/>
      </w:rPr>
      <w:t xml:space="preserve"> </w:t>
    </w:r>
  </w:p>
  <w:p w:rsidR="00CC7ECC" w:rsidRDefault="005643DC">
    <w:pPr>
      <w:pStyle w:val="Nagwek"/>
      <w:ind w:left="-851" w:right="5526"/>
      <w:jc w:val="center"/>
      <w:rPr>
        <w:rFonts w:ascii="Century Gothic" w:hAnsi="Century Gothic" w:cs="Century Gothic"/>
        <w:b/>
        <w:spacing w:val="20"/>
        <w:sz w:val="8"/>
        <w:szCs w:val="8"/>
      </w:rPr>
    </w:pPr>
  </w:p>
  <w:p w:rsidR="00CC7ECC" w:rsidRDefault="0075555C">
    <w:pPr>
      <w:pStyle w:val="Nagwek"/>
      <w:ind w:left="-851" w:right="5526"/>
      <w:jc w:val="center"/>
      <w:rPr>
        <w:b/>
      </w:rPr>
    </w:pPr>
    <w:r>
      <w:rPr>
        <w:b/>
      </w:rPr>
      <w:t>KRAJOWA SZKOŁA</w:t>
    </w:r>
  </w:p>
  <w:p w:rsidR="00CC7ECC" w:rsidRDefault="0075555C">
    <w:pPr>
      <w:pStyle w:val="Nagwek"/>
      <w:ind w:left="-851" w:right="5526"/>
      <w:jc w:val="center"/>
      <w:rPr>
        <w:rFonts w:ascii="Century Gothic" w:hAnsi="Century Gothic" w:cs="Century Gothic"/>
        <w:b/>
        <w:sz w:val="18"/>
        <w:szCs w:val="18"/>
      </w:rPr>
    </w:pPr>
    <w:r>
      <w:rPr>
        <w:b/>
      </w:rPr>
      <w:t>SĄDOWNICTWA I PROKURATURY</w:t>
    </w:r>
  </w:p>
  <w:p w:rsidR="00CC7ECC" w:rsidRDefault="005643DC">
    <w:pPr>
      <w:pStyle w:val="Nagwek"/>
      <w:tabs>
        <w:tab w:val="center" w:pos="1080"/>
        <w:tab w:val="left" w:pos="1440"/>
        <w:tab w:val="left" w:pos="10527"/>
      </w:tabs>
      <w:rPr>
        <w:rFonts w:ascii="Century Gothic" w:hAnsi="Century Gothic" w:cs="Century Gothic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1C9F"/>
    <w:multiLevelType w:val="hybridMultilevel"/>
    <w:tmpl w:val="63C04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F71F5"/>
    <w:multiLevelType w:val="hybridMultilevel"/>
    <w:tmpl w:val="0400A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65BB6"/>
    <w:multiLevelType w:val="hybridMultilevel"/>
    <w:tmpl w:val="587A9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01265"/>
    <w:multiLevelType w:val="hybridMultilevel"/>
    <w:tmpl w:val="ED56ACCC"/>
    <w:lvl w:ilvl="0" w:tplc="4F4223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1C176CF"/>
    <w:multiLevelType w:val="hybridMultilevel"/>
    <w:tmpl w:val="46C0C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31427"/>
    <w:multiLevelType w:val="hybridMultilevel"/>
    <w:tmpl w:val="124A172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56A2455"/>
    <w:multiLevelType w:val="hybridMultilevel"/>
    <w:tmpl w:val="27E02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B63771"/>
    <w:multiLevelType w:val="hybridMultilevel"/>
    <w:tmpl w:val="9502E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D5"/>
    <w:rsid w:val="00102CD5"/>
    <w:rsid w:val="0017679B"/>
    <w:rsid w:val="00256528"/>
    <w:rsid w:val="00406BC2"/>
    <w:rsid w:val="004C263E"/>
    <w:rsid w:val="005643DC"/>
    <w:rsid w:val="005F5AF6"/>
    <w:rsid w:val="0075555C"/>
    <w:rsid w:val="00AA3205"/>
    <w:rsid w:val="00B975D7"/>
    <w:rsid w:val="00C87152"/>
    <w:rsid w:val="00D8529D"/>
    <w:rsid w:val="00EB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2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CD5"/>
  </w:style>
  <w:style w:type="paragraph" w:styleId="Stopka">
    <w:name w:val="footer"/>
    <w:basedOn w:val="Normalny"/>
    <w:link w:val="StopkaZnak"/>
    <w:uiPriority w:val="99"/>
    <w:unhideWhenUsed/>
    <w:rsid w:val="00102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CD5"/>
  </w:style>
  <w:style w:type="paragraph" w:styleId="Akapitzlist">
    <w:name w:val="List Paragraph"/>
    <w:basedOn w:val="Normalny"/>
    <w:uiPriority w:val="34"/>
    <w:qFormat/>
    <w:rsid w:val="002565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2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CD5"/>
  </w:style>
  <w:style w:type="paragraph" w:styleId="Stopka">
    <w:name w:val="footer"/>
    <w:basedOn w:val="Normalny"/>
    <w:link w:val="StopkaZnak"/>
    <w:uiPriority w:val="99"/>
    <w:unhideWhenUsed/>
    <w:rsid w:val="00102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CD5"/>
  </w:style>
  <w:style w:type="paragraph" w:styleId="Akapitzlist">
    <w:name w:val="List Paragraph"/>
    <w:basedOn w:val="Normalny"/>
    <w:uiPriority w:val="34"/>
    <w:qFormat/>
    <w:rsid w:val="002565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1467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Marta Zin</cp:lastModifiedBy>
  <cp:revision>3</cp:revision>
  <cp:lastPrinted>2019-11-14T10:58:00Z</cp:lastPrinted>
  <dcterms:created xsi:type="dcterms:W3CDTF">2019-11-13T12:15:00Z</dcterms:created>
  <dcterms:modified xsi:type="dcterms:W3CDTF">2019-11-14T12:53:00Z</dcterms:modified>
</cp:coreProperties>
</file>