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31C" w:rsidRDefault="006F031C" w:rsidP="006F031C">
      <w:pPr>
        <w:ind w:left="3240"/>
        <w:jc w:val="both"/>
      </w:pPr>
    </w:p>
    <w:p w:rsidR="006F031C" w:rsidRDefault="006F031C" w:rsidP="006F031C">
      <w:pPr>
        <w:ind w:left="3240"/>
        <w:jc w:val="both"/>
      </w:pPr>
      <w:r>
        <w:t xml:space="preserve">                   </w:t>
      </w:r>
      <w:r w:rsidR="00DE561C">
        <w:t xml:space="preserve">                 Kraków, dnia  3</w:t>
      </w:r>
      <w:r>
        <w:t xml:space="preserve"> października 2019 r.</w:t>
      </w:r>
    </w:p>
    <w:p w:rsidR="006F031C" w:rsidRDefault="006F031C" w:rsidP="006F031C">
      <w:pPr>
        <w:ind w:left="3240"/>
        <w:jc w:val="both"/>
      </w:pPr>
    </w:p>
    <w:p w:rsidR="006F031C" w:rsidRDefault="006F031C" w:rsidP="006F031C">
      <w:pPr>
        <w:jc w:val="both"/>
      </w:pPr>
      <w:r>
        <w:t>OAP-II.420.19.2019</w:t>
      </w:r>
    </w:p>
    <w:p w:rsidR="006F031C" w:rsidRDefault="006F031C" w:rsidP="006F031C">
      <w:pPr>
        <w:spacing w:line="360" w:lineRule="auto"/>
        <w:ind w:left="3240"/>
        <w:jc w:val="both"/>
      </w:pPr>
    </w:p>
    <w:p w:rsidR="006F031C" w:rsidRDefault="006F031C" w:rsidP="006F031C">
      <w:pPr>
        <w:spacing w:line="360" w:lineRule="auto"/>
        <w:ind w:left="3240"/>
        <w:jc w:val="both"/>
      </w:pPr>
    </w:p>
    <w:p w:rsidR="006F031C" w:rsidRDefault="006F031C" w:rsidP="006F031C">
      <w:pPr>
        <w:spacing w:line="360" w:lineRule="auto"/>
        <w:ind w:left="3240"/>
        <w:jc w:val="center"/>
        <w:rPr>
          <w:b/>
        </w:rPr>
      </w:pPr>
      <w:r>
        <w:rPr>
          <w:b/>
        </w:rPr>
        <w:t xml:space="preserve">     Patroni Koordynatorzy</w:t>
      </w:r>
    </w:p>
    <w:p w:rsidR="006F031C" w:rsidRDefault="006F031C" w:rsidP="006F031C">
      <w:pPr>
        <w:spacing w:line="360" w:lineRule="auto"/>
        <w:ind w:left="3240"/>
        <w:rPr>
          <w:b/>
        </w:rPr>
      </w:pPr>
      <w:r>
        <w:rPr>
          <w:b/>
        </w:rPr>
        <w:t xml:space="preserve">                               oraz Patroni Praktyk</w:t>
      </w:r>
    </w:p>
    <w:p w:rsidR="006F031C" w:rsidRDefault="006F031C" w:rsidP="006F031C">
      <w:pPr>
        <w:spacing w:line="360" w:lineRule="auto"/>
        <w:ind w:left="3240"/>
        <w:jc w:val="center"/>
        <w:rPr>
          <w:b/>
        </w:rPr>
      </w:pPr>
      <w:r>
        <w:rPr>
          <w:b/>
        </w:rPr>
        <w:t xml:space="preserve">                           aplikantów aplikacji prokuratorskiej</w:t>
      </w:r>
    </w:p>
    <w:p w:rsidR="006F031C" w:rsidRDefault="006F031C" w:rsidP="006F031C">
      <w:pPr>
        <w:spacing w:line="360" w:lineRule="auto"/>
        <w:ind w:left="3240"/>
        <w:jc w:val="right"/>
        <w:rPr>
          <w:b/>
        </w:rPr>
      </w:pPr>
    </w:p>
    <w:p w:rsidR="006F031C" w:rsidRDefault="006F031C" w:rsidP="006F031C">
      <w:pPr>
        <w:spacing w:line="360" w:lineRule="auto"/>
        <w:ind w:left="3240"/>
        <w:jc w:val="both"/>
        <w:rPr>
          <w:b/>
        </w:rPr>
      </w:pPr>
      <w:r>
        <w:t xml:space="preserve">                                                                                                                                                                              </w:t>
      </w:r>
    </w:p>
    <w:p w:rsidR="006F031C" w:rsidRDefault="006F031C" w:rsidP="006F031C">
      <w:pPr>
        <w:spacing w:line="360" w:lineRule="auto"/>
        <w:jc w:val="both"/>
        <w:rPr>
          <w:b/>
        </w:rPr>
      </w:pPr>
      <w:r>
        <w:rPr>
          <w:b/>
        </w:rPr>
        <w:t>Dotyczy praktyk aplikantów aplikacji prokuratorskiej 9. rocznika po XVIII zjeździe</w:t>
      </w:r>
    </w:p>
    <w:p w:rsidR="006F031C" w:rsidRDefault="006F031C" w:rsidP="006F031C">
      <w:pPr>
        <w:spacing w:line="360" w:lineRule="auto"/>
        <w:jc w:val="both"/>
        <w:rPr>
          <w:b/>
        </w:rPr>
      </w:pPr>
    </w:p>
    <w:p w:rsidR="006F031C" w:rsidRDefault="006F031C" w:rsidP="006F031C">
      <w:pPr>
        <w:spacing w:line="360" w:lineRule="auto"/>
        <w:ind w:left="3240"/>
        <w:jc w:val="both"/>
        <w:rPr>
          <w:b/>
        </w:rPr>
      </w:pPr>
    </w:p>
    <w:p w:rsidR="006F031C" w:rsidRPr="0024539A" w:rsidRDefault="006F031C" w:rsidP="006F031C">
      <w:pPr>
        <w:spacing w:line="360" w:lineRule="auto"/>
        <w:ind w:firstLine="708"/>
        <w:jc w:val="both"/>
        <w:rPr>
          <w:b/>
        </w:rPr>
      </w:pPr>
      <w:r>
        <w:t xml:space="preserve">W oparciu o § 2, 9 i 10 zarządzenia Dyrektora Krajowej Szkoły Sądownictwa               i Prokuratury w Krakowie Nr 132/2019 z dnia 15 marca 2019 roku w sprawie szczegółowych zasad odbywania praktyki przez aplikantów aplikacji sędziowskiej, prokuratorskiej oraz ogólnej (tekst ujednolicony), uprzejmie przedstawiam szczegółowy zakres tematyczny, który powinien być przedmiotem praktyk aplikantów aplikacji prokuratorskiej, odbywanych           </w:t>
      </w:r>
      <w:r w:rsidRPr="0024539A">
        <w:rPr>
          <w:b/>
        </w:rPr>
        <w:t>w dniach</w:t>
      </w:r>
      <w:r>
        <w:t xml:space="preserve"> </w:t>
      </w:r>
      <w:r w:rsidRPr="0024539A">
        <w:rPr>
          <w:b/>
        </w:rPr>
        <w:t>od</w:t>
      </w:r>
      <w:r>
        <w:rPr>
          <w:b/>
        </w:rPr>
        <w:t xml:space="preserve"> 4 do 22</w:t>
      </w:r>
      <w:r w:rsidRPr="0024539A">
        <w:rPr>
          <w:b/>
        </w:rPr>
        <w:t xml:space="preserve">  listopada 201</w:t>
      </w:r>
      <w:r>
        <w:rPr>
          <w:b/>
        </w:rPr>
        <w:t>9</w:t>
      </w:r>
      <w:r w:rsidRPr="0024539A">
        <w:rPr>
          <w:b/>
        </w:rPr>
        <w:t xml:space="preserve"> roku w prokuraturach okręgowych - wydziałach </w:t>
      </w:r>
      <w:r>
        <w:rPr>
          <w:b/>
        </w:rPr>
        <w:t>lub działach sądowych</w:t>
      </w:r>
      <w:r w:rsidRPr="0024539A">
        <w:rPr>
          <w:b/>
        </w:rPr>
        <w:t>.</w:t>
      </w:r>
    </w:p>
    <w:p w:rsidR="006F031C" w:rsidRDefault="006F031C" w:rsidP="006F031C">
      <w:pPr>
        <w:spacing w:line="360" w:lineRule="auto"/>
        <w:ind w:firstLine="708"/>
        <w:jc w:val="both"/>
      </w:pPr>
      <w:r>
        <w:t>Założeniem praktyki jest zaznajomienie aplikantów z czynnościami i metodyką pracy patronów praktyk oraz doskonalenie umiejętności wykorzystania wiedzy teoretycznej              i znajomości orzecznictwa. Każdorazowo praktyka powinna utrwalić wiedzę zdobytą podczas bezpośrednio poprzedzających ją zajęć seminaryjnych w ramach zjazdu.</w:t>
      </w:r>
    </w:p>
    <w:p w:rsidR="006F031C" w:rsidRDefault="006F031C" w:rsidP="006F031C">
      <w:pPr>
        <w:spacing w:line="360" w:lineRule="auto"/>
        <w:ind w:firstLine="708"/>
        <w:jc w:val="both"/>
      </w:pPr>
    </w:p>
    <w:p w:rsidR="006F031C" w:rsidRDefault="006F031C" w:rsidP="006F031C">
      <w:pPr>
        <w:spacing w:line="360" w:lineRule="auto"/>
        <w:ind w:firstLine="708"/>
        <w:jc w:val="both"/>
      </w:pPr>
      <w:r>
        <w:t xml:space="preserve">Przedmiotem XVIII zjazdu aplikacji prokuratorskiej odbywającego się od 28 do 31 października 2019 roku są następujące zagadnienia:                            </w:t>
      </w:r>
      <w:r>
        <w:tab/>
      </w:r>
      <w:r>
        <w:tab/>
      </w:r>
      <w:r>
        <w:tab/>
      </w:r>
    </w:p>
    <w:p w:rsidR="006F031C" w:rsidRDefault="006F031C" w:rsidP="006F031C">
      <w:pPr>
        <w:numPr>
          <w:ilvl w:val="0"/>
          <w:numId w:val="1"/>
        </w:numPr>
        <w:spacing w:line="360" w:lineRule="auto"/>
        <w:jc w:val="both"/>
        <w:rPr>
          <w:rFonts w:eastAsia="Calibri"/>
          <w:b/>
        </w:rPr>
      </w:pPr>
      <w:r>
        <w:rPr>
          <w:b/>
        </w:rPr>
        <w:t>prawo karne materialne</w:t>
      </w:r>
      <w:r>
        <w:t>: kara łączna i wyrok łączny;</w:t>
      </w:r>
    </w:p>
    <w:p w:rsidR="006F031C" w:rsidRPr="006F031C" w:rsidRDefault="006F031C" w:rsidP="006F031C">
      <w:pPr>
        <w:numPr>
          <w:ilvl w:val="0"/>
          <w:numId w:val="1"/>
        </w:numPr>
        <w:spacing w:line="360" w:lineRule="auto"/>
        <w:jc w:val="both"/>
        <w:rPr>
          <w:b/>
        </w:rPr>
      </w:pPr>
      <w:r>
        <w:rPr>
          <w:rFonts w:eastAsia="Calibri"/>
          <w:b/>
        </w:rPr>
        <w:t>pozakodeksowe przepisy karne</w:t>
      </w:r>
      <w:r>
        <w:rPr>
          <w:rFonts w:eastAsia="Calibri"/>
        </w:rPr>
        <w:t xml:space="preserve">, w szczególności: </w:t>
      </w:r>
      <w:r>
        <w:t xml:space="preserve">ustawa o przeciwdziałaniu narkomanii, </w:t>
      </w:r>
      <w:r>
        <w:rPr>
          <w:rFonts w:eastAsia="Calibri"/>
        </w:rPr>
        <w:t xml:space="preserve">ustawy m.in. o ochronie zabytków i opiece nad zabytkami, o broni i amunicji, Prawo łowieckie, o rybactwie śródlądowym, o przeciwdziałaniu </w:t>
      </w:r>
      <w:r>
        <w:rPr>
          <w:rFonts w:eastAsia="Calibri"/>
        </w:rPr>
        <w:lastRenderedPageBreak/>
        <w:t>alkoholizmowi i inne (dobór uzależniony od aktualnych tendencji rozwoju przestępczości);</w:t>
      </w:r>
    </w:p>
    <w:p w:rsidR="004C5B85" w:rsidRPr="004C5B85" w:rsidRDefault="006F031C" w:rsidP="004C5B85">
      <w:pPr>
        <w:numPr>
          <w:ilvl w:val="0"/>
          <w:numId w:val="1"/>
        </w:numPr>
        <w:spacing w:line="360" w:lineRule="auto"/>
        <w:jc w:val="both"/>
        <w:rPr>
          <w:rFonts w:eastAsia="Calibri"/>
        </w:rPr>
      </w:pPr>
      <w:r>
        <w:rPr>
          <w:rFonts w:eastAsia="Calibri"/>
          <w:b/>
        </w:rPr>
        <w:t xml:space="preserve">wybrane przestępstwa gospodarcze </w:t>
      </w:r>
      <w:r w:rsidRPr="006F031C">
        <w:rPr>
          <w:rFonts w:eastAsia="Calibri"/>
        </w:rPr>
        <w:t>– przestępstwa przeciwko obrotowi gospodarczemu (przestępstwo nadużycia zaufania, przekupstwo i sprzedajność menadżerów)</w:t>
      </w:r>
      <w:r>
        <w:rPr>
          <w:rFonts w:eastAsia="Calibri"/>
        </w:rPr>
        <w:t>, oszustwa gospodarcze (oszustwo kapitałowe, oszustwo ubezpieczeniowe, utrudnianie przetargu), przestępstwo prania brudnych pieniędzy, przestępstwa z ustawy o przeciwdziałaniu praniu pieniędzy oraz finansowaniu terroryzmu, przestępstwa dłużnicze</w:t>
      </w:r>
      <w:r w:rsidR="004C5B85">
        <w:rPr>
          <w:rFonts w:eastAsia="Calibri"/>
        </w:rPr>
        <w:t xml:space="preserve"> (</w:t>
      </w:r>
      <w:r w:rsidR="004C5B85" w:rsidRPr="004C5B85">
        <w:rPr>
          <w:rFonts w:eastAsia="Calibri"/>
        </w:rPr>
        <w:t xml:space="preserve">przestępstwo niezaspokojenia wierzyciela – art. 300 k.k., przestępstwo wytransferowania majątku przez dłużnika – art. 301 § 1 k.k., przestępstwo bankructwa dłużników – art. 301 § 2 i 3 k.k., przestępstwo korumpowania wierzycieli – art. 302 k.k., przestępstwo nieprowadzenia dokumentacji działalności gospodarczej albo prowadzenia jej w sposób nierzetelny lub niezgodny </w:t>
      </w:r>
      <w:r w:rsidR="004C5B85">
        <w:rPr>
          <w:rFonts w:eastAsia="Calibri"/>
        </w:rPr>
        <w:br/>
      </w:r>
      <w:r w:rsidR="004C5B85" w:rsidRPr="004C5B85">
        <w:rPr>
          <w:rFonts w:eastAsia="Calibri"/>
        </w:rPr>
        <w:t>z prawdą – art. 303 k.k., przestępstwo lichwy – art. 304 k.k.</w:t>
      </w:r>
      <w:r w:rsidR="004C5B85">
        <w:rPr>
          <w:rFonts w:eastAsia="Calibri"/>
        </w:rPr>
        <w:t>)</w:t>
      </w:r>
    </w:p>
    <w:p w:rsidR="006F031C" w:rsidRDefault="004C5B85" w:rsidP="004C5B85">
      <w:pPr>
        <w:numPr>
          <w:ilvl w:val="0"/>
          <w:numId w:val="1"/>
        </w:numPr>
        <w:spacing w:line="360" w:lineRule="auto"/>
        <w:jc w:val="both"/>
      </w:pPr>
      <w:r w:rsidRPr="004C5B85">
        <w:rPr>
          <w:b/>
        </w:rPr>
        <w:t>kryminalistyka</w:t>
      </w:r>
      <w:r w:rsidR="006F031C">
        <w:t xml:space="preserve">: </w:t>
      </w:r>
      <w:r>
        <w:t>kryminalistyczne aspekty przestępstw z wykorzystaniem narzędzi informatycznych; przeszukanie urządzeń zawierających dane informatyczne; dowód (ślad) cyfrowy; typowe przestępstwa popełniane z wykorzystaniem narzędzi cyfrowych; a</w:t>
      </w:r>
      <w:r w:rsidRPr="004C5B85">
        <w:t>naliza kryminalna i ekspertyzy dotyczące śladów cyfrowych.</w:t>
      </w:r>
    </w:p>
    <w:p w:rsidR="006F031C" w:rsidRDefault="004C5B85" w:rsidP="004C5B85">
      <w:pPr>
        <w:tabs>
          <w:tab w:val="left" w:pos="5614"/>
        </w:tabs>
        <w:spacing w:line="360" w:lineRule="auto"/>
        <w:ind w:left="720"/>
        <w:jc w:val="both"/>
      </w:pPr>
      <w:r>
        <w:tab/>
      </w:r>
    </w:p>
    <w:p w:rsidR="006F031C" w:rsidRDefault="006F031C" w:rsidP="006F031C">
      <w:pPr>
        <w:spacing w:line="360" w:lineRule="auto"/>
        <w:ind w:firstLine="360"/>
        <w:jc w:val="both"/>
        <w:rPr>
          <w:b/>
        </w:rPr>
      </w:pPr>
      <w:r w:rsidRPr="00882ABA">
        <w:rPr>
          <w:b/>
        </w:rPr>
        <w:t xml:space="preserve">Celem praktyki jest utrwalenie umiejętności oceny wyroku łącznego </w:t>
      </w:r>
      <w:r w:rsidR="004C5B85">
        <w:rPr>
          <w:b/>
        </w:rPr>
        <w:t>i  sporządzania apelacji od takiego wyroku</w:t>
      </w:r>
      <w:r w:rsidRPr="00882ABA">
        <w:rPr>
          <w:b/>
        </w:rPr>
        <w:t xml:space="preserve">. </w:t>
      </w:r>
    </w:p>
    <w:p w:rsidR="006F031C" w:rsidRPr="00882ABA" w:rsidRDefault="006F031C" w:rsidP="006F031C">
      <w:pPr>
        <w:spacing w:line="360" w:lineRule="auto"/>
        <w:ind w:firstLine="360"/>
        <w:jc w:val="both"/>
        <w:rPr>
          <w:b/>
        </w:rPr>
      </w:pPr>
    </w:p>
    <w:p w:rsidR="006F031C" w:rsidRDefault="006F031C" w:rsidP="006F031C">
      <w:pPr>
        <w:spacing w:line="360" w:lineRule="auto"/>
        <w:ind w:firstLine="360"/>
        <w:jc w:val="both"/>
      </w:pPr>
      <w:r w:rsidRPr="0040272F">
        <w:t xml:space="preserve">Podczas praktyk w prokuraturach </w:t>
      </w:r>
      <w:r w:rsidR="00DE561C">
        <w:t>okręgowych</w:t>
      </w:r>
      <w:r w:rsidRPr="0040272F">
        <w:t xml:space="preserve"> patroni praktyk oraz patroni koordynatorzy powinni zadbać o to, aby aplikanci mieli możliwość dokonywania analizy różnych stanów faktycznych i prawnych m. in.: wynikających z akt różnego rodzaju postępowań będących na biegu. </w:t>
      </w:r>
    </w:p>
    <w:p w:rsidR="006F031C" w:rsidRDefault="006F031C" w:rsidP="006F031C">
      <w:pPr>
        <w:spacing w:line="360" w:lineRule="auto"/>
        <w:ind w:firstLine="708"/>
        <w:jc w:val="both"/>
        <w:rPr>
          <w:rFonts w:eastAsia="Calibri"/>
        </w:rPr>
      </w:pPr>
      <w:r>
        <w:t xml:space="preserve">Aplikanci powinni mieć także możliwość pracy z aktami spraw, </w:t>
      </w:r>
      <w:r>
        <w:rPr>
          <w:rFonts w:eastAsia="Calibri"/>
        </w:rPr>
        <w:t xml:space="preserve">w których należy dokonać oceny przebiegu oraz wyników I instancyjnego postępowania sądowego, a potem ewentualnie sporządzić środek odwoławczy.  </w:t>
      </w:r>
    </w:p>
    <w:p w:rsidR="006F031C" w:rsidRDefault="006F031C" w:rsidP="006F031C">
      <w:pPr>
        <w:spacing w:line="360" w:lineRule="auto"/>
        <w:jc w:val="both"/>
        <w:rPr>
          <w:rFonts w:eastAsia="Calibri"/>
        </w:rPr>
      </w:pPr>
      <w:r>
        <w:t xml:space="preserve"> </w:t>
      </w:r>
      <w:r>
        <w:rPr>
          <w:rFonts w:eastAsia="Calibri"/>
        </w:rPr>
        <w:tab/>
        <w:t>Nadto należy umożliwić aplikantom własną</w:t>
      </w:r>
      <w:r>
        <w:rPr>
          <w:rFonts w:eastAsia="Calibri"/>
          <w:b/>
        </w:rPr>
        <w:t xml:space="preserve"> </w:t>
      </w:r>
      <w:r>
        <w:rPr>
          <w:rFonts w:eastAsia="Calibri"/>
        </w:rPr>
        <w:t>pracę z aktami spraw dotyczących m. in. przestępstw określonych w pozakodeksowych przepisach karnych,</w:t>
      </w:r>
      <w:r w:rsidR="00DE561C">
        <w:rPr>
          <w:rFonts w:eastAsia="Calibri"/>
        </w:rPr>
        <w:t xml:space="preserve"> a także przestępstw związanych z obrotem gospodarczym, oszustw gospodarczych, przestępstwa prania brudnych pieniędzy oraz przestępstw dłużniczych, w szczególności</w:t>
      </w:r>
      <w:r>
        <w:rPr>
          <w:rFonts w:eastAsia="Calibri"/>
        </w:rPr>
        <w:t xml:space="preserve"> obligujących</w:t>
      </w:r>
      <w:r w:rsidR="00DE561C">
        <w:rPr>
          <w:rFonts w:eastAsia="Calibri"/>
        </w:rPr>
        <w:t xml:space="preserve"> </w:t>
      </w:r>
      <w:r>
        <w:rPr>
          <w:rFonts w:eastAsia="Calibri"/>
        </w:rPr>
        <w:t>do:</w:t>
      </w:r>
    </w:p>
    <w:p w:rsidR="006F031C" w:rsidRDefault="006F031C" w:rsidP="006F031C">
      <w:pPr>
        <w:spacing w:line="360" w:lineRule="auto"/>
        <w:jc w:val="both"/>
        <w:rPr>
          <w:rFonts w:eastAsia="Calibri"/>
        </w:rPr>
      </w:pPr>
      <w:r>
        <w:rPr>
          <w:rFonts w:eastAsia="Calibri"/>
        </w:rPr>
        <w:t>-  oceny zasadności wystąpienia z wnioskiem w zakresie propozycji kary łącznej;</w:t>
      </w:r>
    </w:p>
    <w:p w:rsidR="006F031C" w:rsidRDefault="006F031C" w:rsidP="006F031C">
      <w:pPr>
        <w:spacing w:line="360" w:lineRule="auto"/>
        <w:jc w:val="both"/>
        <w:rPr>
          <w:rFonts w:eastAsia="Calibri"/>
        </w:rPr>
      </w:pPr>
      <w:r>
        <w:rPr>
          <w:rFonts w:eastAsia="Calibri"/>
        </w:rPr>
        <w:lastRenderedPageBreak/>
        <w:t xml:space="preserve">-  sporządzania środków odwoławczych </w:t>
      </w:r>
      <w:r w:rsidRPr="00590E97">
        <w:rPr>
          <w:rFonts w:eastAsia="Calibri"/>
          <w:b/>
        </w:rPr>
        <w:t>(głównie apelacji w tym od wyroku łącznego oraz od wyroku zawierającego orzeczenie w przedmiocie kary łącznej)</w:t>
      </w:r>
      <w:r>
        <w:rPr>
          <w:rFonts w:eastAsia="Calibri"/>
          <w:b/>
        </w:rPr>
        <w:t xml:space="preserve"> </w:t>
      </w:r>
      <w:r>
        <w:rPr>
          <w:rFonts w:eastAsia="Calibri"/>
        </w:rPr>
        <w:t xml:space="preserve">utrwalających umiejętność przyjęcia właściwej przyczyny odwoławczej, określenia właściwego kierunku                        i zakresu zaskarżenia; </w:t>
      </w:r>
      <w:r>
        <w:rPr>
          <w:rFonts w:eastAsia="Calibri"/>
          <w:b/>
        </w:rPr>
        <w:t xml:space="preserve"> </w:t>
      </w:r>
      <w:r>
        <w:rPr>
          <w:rFonts w:eastAsia="Calibri"/>
        </w:rPr>
        <w:t>zapewnienia własnej, samodzielnej – nie narzuconej przez patrona praktyk - oceny wskazanych wyżej okoliczności;</w:t>
      </w:r>
    </w:p>
    <w:p w:rsidR="006F031C" w:rsidRDefault="006F031C" w:rsidP="006F031C">
      <w:pPr>
        <w:spacing w:line="360" w:lineRule="auto"/>
        <w:jc w:val="both"/>
        <w:rPr>
          <w:rFonts w:eastAsia="Calibri"/>
        </w:rPr>
      </w:pPr>
      <w:r>
        <w:rPr>
          <w:rFonts w:eastAsia="Calibri"/>
        </w:rPr>
        <w:t>- zapoznania się ze zbiorami apelacji oraz aktami spraw, w których wnoszone były skuteczne apelacje</w:t>
      </w:r>
      <w:r w:rsidR="00DE561C">
        <w:rPr>
          <w:rFonts w:eastAsia="Calibri"/>
        </w:rPr>
        <w:t xml:space="preserve"> od wyroków łącznych lub wyroków zawierających orzeczenia w przedmiocie kar łącznych</w:t>
      </w:r>
      <w:r>
        <w:rPr>
          <w:rFonts w:eastAsia="Calibri"/>
        </w:rPr>
        <w:t>, dla wypracowania umiejętności diagnozowania błędów zawartych w wyrokach, formułowania poprawnych zarzutów, określania prawidłowego zakresu i kierunku zaskarżenia oraz wniosków apelacji;</w:t>
      </w:r>
    </w:p>
    <w:p w:rsidR="006F031C" w:rsidRDefault="006F031C" w:rsidP="006F031C">
      <w:pPr>
        <w:spacing w:line="360" w:lineRule="auto"/>
        <w:jc w:val="both"/>
        <w:rPr>
          <w:rFonts w:eastAsia="Calibri"/>
        </w:rPr>
      </w:pPr>
      <w:r w:rsidRPr="003D40F2">
        <w:rPr>
          <w:rFonts w:eastAsia="Calibri"/>
        </w:rPr>
        <w:t>- podejmowania decyzji i sporządzania wpadkowych (incydentalnych) postanowień</w:t>
      </w:r>
      <w:r>
        <w:rPr>
          <w:rFonts w:eastAsia="Calibri"/>
        </w:rPr>
        <w:t xml:space="preserve">                               </w:t>
      </w:r>
      <w:r w:rsidRPr="003D40F2">
        <w:rPr>
          <w:rFonts w:eastAsia="Calibri"/>
        </w:rPr>
        <w:t>i zarządzeń (np. dot. środków zapobiegawczych, dowodów rzeczowych itp.).</w:t>
      </w:r>
    </w:p>
    <w:p w:rsidR="006F031C" w:rsidRDefault="006F031C" w:rsidP="006F031C">
      <w:pPr>
        <w:spacing w:line="360" w:lineRule="auto"/>
        <w:jc w:val="both"/>
        <w:rPr>
          <w:rFonts w:eastAsia="Calibri"/>
        </w:rPr>
      </w:pPr>
    </w:p>
    <w:p w:rsidR="006F031C" w:rsidRDefault="006F031C" w:rsidP="006F031C">
      <w:pPr>
        <w:spacing w:line="360" w:lineRule="auto"/>
        <w:jc w:val="both"/>
        <w:rPr>
          <w:rFonts w:eastAsia="Calibri"/>
        </w:rPr>
      </w:pPr>
      <w:r>
        <w:rPr>
          <w:rFonts w:eastAsia="Calibri"/>
        </w:rPr>
        <w:tab/>
        <w:t xml:space="preserve">W miarę możliwości należy także umożliwić aplikantowi udział w postępowaniu sądowym w przedmiocie wyroku łącznego lub w sprawach, w których można oczekiwać orzeczenia kary łącznej, w tym w toku uzgodnień propozycji co do kary w ramach referatu </w:t>
      </w:r>
      <w:proofErr w:type="spellStart"/>
      <w:r>
        <w:rPr>
          <w:rFonts w:eastAsia="Calibri"/>
        </w:rPr>
        <w:t>przedsesyjnego</w:t>
      </w:r>
      <w:proofErr w:type="spellEnd"/>
      <w:r>
        <w:rPr>
          <w:rFonts w:eastAsia="Calibri"/>
        </w:rPr>
        <w:t xml:space="preserve"> oraz w czasie składania prokuratorowi przełożonemu referatu posesyjnego.</w:t>
      </w:r>
    </w:p>
    <w:p w:rsidR="006F031C" w:rsidRDefault="006F031C" w:rsidP="006F031C">
      <w:pPr>
        <w:spacing w:line="360" w:lineRule="auto"/>
        <w:jc w:val="both"/>
        <w:rPr>
          <w:rFonts w:eastAsia="Calibri"/>
        </w:rPr>
      </w:pPr>
    </w:p>
    <w:p w:rsidR="006F031C" w:rsidRDefault="006F031C" w:rsidP="006F031C">
      <w:pPr>
        <w:spacing w:line="360" w:lineRule="auto"/>
        <w:jc w:val="both"/>
      </w:pPr>
      <w:r>
        <w:t xml:space="preserve">         Istotnym przy ocenie przez patronów praktyk prac wykonywanych przez aplikantów, zwłaszcza projektów sporządzanych przez nich decyzji, jest zwracanie uwagi nie tylko na merytoryczną trafność i formalną poprawność samego rozstrzygnięcia, ale i na rodzaj użytej argumentacji, logikę i poprawność językową. Celem przedmiotowej praktyki jest bowiem również wykształcenie u aplikantów aplikacji prokuratorskiej umiejętności właściwej oceny prawnej decyzji podejmowanych w toku postępowania w sprawach karnych, obrony własnego stanowiska w sprawie i zastosowania prawidłowej argumentacji.</w:t>
      </w:r>
    </w:p>
    <w:p w:rsidR="006F031C" w:rsidRDefault="006F031C" w:rsidP="006F031C">
      <w:pPr>
        <w:spacing w:line="360" w:lineRule="auto"/>
        <w:jc w:val="both"/>
      </w:pPr>
    </w:p>
    <w:p w:rsidR="006F031C" w:rsidRDefault="006F031C" w:rsidP="006F031C">
      <w:pPr>
        <w:spacing w:line="360" w:lineRule="auto"/>
        <w:jc w:val="both"/>
      </w:pPr>
      <w:r>
        <w:t xml:space="preserve">           Powyższe zalecenia nie eliminują możliwości wykonywania przez aplikantów innych zadań wynikających z bieżącego funkcjonowania prokuratury. Patroni zadbać jednak powinni, aby nie przeważały one w trakcie praktyki oraz aby aplikanci mogli pracować także na materiałach (sprawach), którymi patron formalnie się nie zajmuje, zwłaszcza, gdyby miało to umożliwić im poznanie szerokiego zakresu zagadnień, związanych nie tylko bezpośrednio z tematyką poprzedzającego zjazdu, ale wpływających na ogólne podniesienie umiejętności </w:t>
      </w:r>
      <w:r>
        <w:lastRenderedPageBreak/>
        <w:t>aplikanta. Ma temu również służyć zapoznanie aplikantów z zasadami biurowości, w tym prowadzenia urządzeń ewidencyjnych.</w:t>
      </w:r>
    </w:p>
    <w:p w:rsidR="006F031C" w:rsidRDefault="006F031C" w:rsidP="006F031C">
      <w:pPr>
        <w:spacing w:line="360" w:lineRule="auto"/>
        <w:jc w:val="both"/>
      </w:pPr>
    </w:p>
    <w:p w:rsidR="006F031C" w:rsidRDefault="00DE561C" w:rsidP="00DE561C">
      <w:pPr>
        <w:spacing w:line="360" w:lineRule="auto"/>
        <w:jc w:val="both"/>
      </w:pPr>
      <w:r>
        <w:t xml:space="preserve">      </w:t>
      </w:r>
      <w:r w:rsidR="006F031C">
        <w:t xml:space="preserve">Uprzejmie informuję, że przedmiotem sprawdzianu, który aplikanci będą pisać bezpośrednio po odbyciu praktyki (na początku XIX zjazdu w dniu </w:t>
      </w:r>
      <w:r>
        <w:t>25 listopada</w:t>
      </w:r>
      <w:bookmarkStart w:id="0" w:name="_GoBack"/>
      <w:bookmarkEnd w:id="0"/>
      <w:r w:rsidR="006F031C">
        <w:t xml:space="preserve"> 2019 r.) będzie sporządzenie projektu apelacji od wyroku łącznego. </w:t>
      </w:r>
    </w:p>
    <w:p w:rsidR="006F031C" w:rsidRDefault="006F031C" w:rsidP="006F031C">
      <w:pPr>
        <w:spacing w:line="360" w:lineRule="auto"/>
        <w:ind w:firstLine="708"/>
        <w:jc w:val="both"/>
      </w:pPr>
      <w:r>
        <w:t>Mając na uwadze powyższe ważnym jest, aby aplikanci podczas praktyk opanowali te umiejętności, w jak najwyższym stopniu.</w:t>
      </w:r>
    </w:p>
    <w:p w:rsidR="006F031C" w:rsidRDefault="006F031C" w:rsidP="006F031C">
      <w:pPr>
        <w:spacing w:line="360" w:lineRule="auto"/>
        <w:ind w:firstLine="708"/>
        <w:jc w:val="both"/>
      </w:pPr>
    </w:p>
    <w:p w:rsidR="006F031C" w:rsidRPr="00411929" w:rsidRDefault="006F031C" w:rsidP="006F031C">
      <w:pPr>
        <w:ind w:left="3540" w:firstLine="708"/>
        <w:contextualSpacing/>
        <w:jc w:val="center"/>
      </w:pPr>
      <w:r>
        <w:t>Kierownik</w:t>
      </w:r>
    </w:p>
    <w:p w:rsidR="006F031C" w:rsidRPr="00411929" w:rsidRDefault="006F031C" w:rsidP="006F031C">
      <w:pPr>
        <w:ind w:left="3540" w:firstLine="708"/>
        <w:contextualSpacing/>
        <w:jc w:val="center"/>
      </w:pPr>
      <w:r w:rsidRPr="00411929">
        <w:t>Działu Dydaktycznego OAP</w:t>
      </w:r>
    </w:p>
    <w:p w:rsidR="006F031C" w:rsidRPr="00411929" w:rsidRDefault="006F031C" w:rsidP="006F031C">
      <w:pPr>
        <w:contextualSpacing/>
        <w:jc w:val="center"/>
      </w:pPr>
    </w:p>
    <w:p w:rsidR="006F031C" w:rsidRPr="00411929" w:rsidRDefault="006F031C" w:rsidP="006F031C">
      <w:pPr>
        <w:ind w:left="3540" w:firstLine="708"/>
        <w:contextualSpacing/>
        <w:jc w:val="center"/>
      </w:pPr>
      <w:r w:rsidRPr="00411929">
        <w:t>Marta Zin</w:t>
      </w:r>
    </w:p>
    <w:p w:rsidR="00AC6E15" w:rsidRDefault="006F031C" w:rsidP="006F031C">
      <w:pPr>
        <w:ind w:left="2832" w:firstLine="708"/>
        <w:contextualSpacing/>
        <w:jc w:val="center"/>
      </w:pPr>
      <w:r>
        <w:t xml:space="preserve">             </w:t>
      </w:r>
      <w:r w:rsidRPr="00411929">
        <w:t>prokurator</w:t>
      </w:r>
    </w:p>
    <w:sectPr w:rsidR="00AC6E15">
      <w:headerReference w:type="default" r:id="rId8"/>
      <w:footerReference w:type="default" r:id="rId9"/>
      <w:headerReference w:type="first" r:id="rId10"/>
      <w:footerReference w:type="first" r:id="rId11"/>
      <w:pgSz w:w="11906" w:h="16838"/>
      <w:pgMar w:top="1418" w:right="1418" w:bottom="1560" w:left="1418" w:header="568" w:footer="4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44E" w:rsidRDefault="00AC144E">
      <w:r>
        <w:separator/>
      </w:r>
    </w:p>
  </w:endnote>
  <w:endnote w:type="continuationSeparator" w:id="0">
    <w:p w:rsidR="00AC144E" w:rsidRDefault="00AC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ECC" w:rsidRDefault="00A10B5C">
    <w:pPr>
      <w:pStyle w:val="Stopka"/>
    </w:pPr>
    <w:r>
      <w:fldChar w:fldCharType="begin"/>
    </w:r>
    <w:r>
      <w:instrText xml:space="preserve"> PAGE </w:instrText>
    </w:r>
    <w:r>
      <w:fldChar w:fldCharType="separate"/>
    </w:r>
    <w:r w:rsidR="00DE561C">
      <w:rPr>
        <w:noProof/>
      </w:rPr>
      <w:t>4</w:t>
    </w:r>
    <w:r>
      <w:fldChar w:fldCharType="end"/>
    </w:r>
  </w:p>
  <w:p w:rsidR="00CC7ECC" w:rsidRDefault="00AC144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987" w:type="dxa"/>
      <w:tblLayout w:type="fixed"/>
      <w:tblCellMar>
        <w:left w:w="70" w:type="dxa"/>
        <w:right w:w="70" w:type="dxa"/>
      </w:tblCellMar>
      <w:tblLook w:val="0000" w:firstRow="0" w:lastRow="0" w:firstColumn="0" w:lastColumn="0" w:noHBand="0" w:noVBand="0"/>
    </w:tblPr>
    <w:tblGrid>
      <w:gridCol w:w="5099"/>
    </w:tblGrid>
    <w:tr w:rsidR="00CC7ECC">
      <w:trPr>
        <w:trHeight w:val="23"/>
      </w:trPr>
      <w:tc>
        <w:tcPr>
          <w:tcW w:w="5099" w:type="dxa"/>
          <w:tcBorders>
            <w:top w:val="thinThickSmallGap" w:sz="12" w:space="0" w:color="000000"/>
          </w:tcBorders>
          <w:shd w:val="clear" w:color="auto" w:fill="auto"/>
        </w:tcPr>
        <w:p w:rsidR="00CC7ECC" w:rsidRDefault="00AC144E">
          <w:pPr>
            <w:pStyle w:val="Stopka"/>
            <w:snapToGrid w:val="0"/>
            <w:jc w:val="left"/>
          </w:pPr>
        </w:p>
      </w:tc>
    </w:tr>
  </w:tbl>
  <w:p w:rsidR="00CC7ECC" w:rsidRDefault="00A10B5C">
    <w:pPr>
      <w:pStyle w:val="Stopka"/>
      <w:rPr>
        <w:sz w:val="18"/>
        <w:szCs w:val="18"/>
      </w:rPr>
    </w:pPr>
    <w:r>
      <w:rPr>
        <w:sz w:val="18"/>
        <w:szCs w:val="18"/>
      </w:rPr>
      <w:t>Krajowa Szkoła Sądownictwa i Prokuratury</w:t>
    </w:r>
  </w:p>
  <w:p w:rsidR="00CC7ECC" w:rsidRDefault="00A10B5C">
    <w:pPr>
      <w:pStyle w:val="Stopka"/>
      <w:rPr>
        <w:sz w:val="18"/>
        <w:szCs w:val="18"/>
      </w:rPr>
    </w:pPr>
    <w:r>
      <w:rPr>
        <w:sz w:val="18"/>
        <w:szCs w:val="18"/>
      </w:rPr>
      <w:t>ul. Przy Rondzie 5, 31-547 Kraków</w:t>
    </w:r>
  </w:p>
  <w:p w:rsidR="00CC7ECC" w:rsidRDefault="00AC144E">
    <w:pPr>
      <w:pStyle w:val="Stopka"/>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44E" w:rsidRDefault="00AC144E">
      <w:r>
        <w:separator/>
      </w:r>
    </w:p>
  </w:footnote>
  <w:footnote w:type="continuationSeparator" w:id="0">
    <w:p w:rsidR="00AC144E" w:rsidRDefault="00AC1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ECC" w:rsidRDefault="00A10B5C">
    <w:pPr>
      <w:pStyle w:val="Nagwek"/>
      <w:jc w:val="right"/>
    </w:pPr>
    <w:r>
      <w:rPr>
        <w:rFonts w:ascii="Century Gothic" w:hAnsi="Century Gothic" w:cs="Century Gothic"/>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ECC" w:rsidRDefault="006F031C">
    <w:pPr>
      <w:pStyle w:val="Nagwek"/>
      <w:tabs>
        <w:tab w:val="center" w:pos="1080"/>
        <w:tab w:val="left" w:pos="1440"/>
        <w:tab w:val="right" w:pos="5103"/>
        <w:tab w:val="left" w:pos="10527"/>
      </w:tabs>
      <w:ind w:left="-851" w:right="5526"/>
      <w:rPr>
        <w:rFonts w:ascii="Century Gothic" w:eastAsia="Century Gothic" w:hAnsi="Century Gothic" w:cs="Century Gothic"/>
        <w:spacing w:val="20"/>
        <w:sz w:val="30"/>
        <w:szCs w:val="30"/>
      </w:rPr>
    </w:pPr>
    <w:r>
      <w:rPr>
        <w:noProof/>
        <w:lang w:eastAsia="pl-PL"/>
      </w:rPr>
      <w:drawing>
        <wp:anchor distT="0" distB="0" distL="114935" distR="114935" simplePos="0" relativeHeight="251659264" behindDoc="0" locked="0" layoutInCell="1" allowOverlap="1">
          <wp:simplePos x="0" y="0"/>
          <wp:positionH relativeFrom="column">
            <wp:posOffset>621665</wp:posOffset>
          </wp:positionH>
          <wp:positionV relativeFrom="paragraph">
            <wp:posOffset>-172085</wp:posOffset>
          </wp:positionV>
          <wp:extent cx="499110" cy="474980"/>
          <wp:effectExtent l="0" t="0" r="0" b="127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4749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CC7ECC" w:rsidRDefault="00A10B5C">
    <w:pPr>
      <w:pStyle w:val="Nagwek"/>
      <w:tabs>
        <w:tab w:val="center" w:pos="1080"/>
        <w:tab w:val="left" w:pos="1440"/>
        <w:tab w:val="right" w:pos="5103"/>
        <w:tab w:val="left" w:pos="10527"/>
      </w:tabs>
      <w:ind w:left="-851" w:right="5526"/>
      <w:rPr>
        <w:rFonts w:ascii="Century Gothic" w:hAnsi="Century Gothic" w:cs="Century Gothic"/>
        <w:b/>
        <w:spacing w:val="20"/>
        <w:sz w:val="8"/>
        <w:szCs w:val="8"/>
      </w:rPr>
    </w:pPr>
    <w:r>
      <w:rPr>
        <w:rFonts w:ascii="Century Gothic" w:eastAsia="Century Gothic" w:hAnsi="Century Gothic" w:cs="Century Gothic"/>
        <w:b/>
        <w:spacing w:val="20"/>
        <w:sz w:val="30"/>
        <w:szCs w:val="30"/>
      </w:rPr>
      <w:t xml:space="preserve"> </w:t>
    </w:r>
  </w:p>
  <w:p w:rsidR="00CC7ECC" w:rsidRDefault="00AC144E">
    <w:pPr>
      <w:pStyle w:val="Nagwek"/>
      <w:ind w:left="-851" w:right="5526"/>
      <w:jc w:val="center"/>
      <w:rPr>
        <w:rFonts w:ascii="Century Gothic" w:hAnsi="Century Gothic" w:cs="Century Gothic"/>
        <w:b/>
        <w:spacing w:val="20"/>
        <w:sz w:val="8"/>
        <w:szCs w:val="8"/>
      </w:rPr>
    </w:pPr>
  </w:p>
  <w:p w:rsidR="00CC7ECC" w:rsidRDefault="00A10B5C">
    <w:pPr>
      <w:pStyle w:val="Nagwek"/>
      <w:ind w:left="-851" w:right="5526"/>
      <w:jc w:val="center"/>
      <w:rPr>
        <w:b/>
      </w:rPr>
    </w:pPr>
    <w:r>
      <w:rPr>
        <w:b/>
      </w:rPr>
      <w:t>KRAJOWA SZKOŁA</w:t>
    </w:r>
  </w:p>
  <w:p w:rsidR="00CC7ECC" w:rsidRDefault="00A10B5C">
    <w:pPr>
      <w:pStyle w:val="Nagwek"/>
      <w:ind w:left="-851" w:right="5526"/>
      <w:jc w:val="center"/>
      <w:rPr>
        <w:rFonts w:ascii="Century Gothic" w:hAnsi="Century Gothic" w:cs="Century Gothic"/>
        <w:b/>
        <w:sz w:val="18"/>
        <w:szCs w:val="18"/>
      </w:rPr>
    </w:pPr>
    <w:r>
      <w:rPr>
        <w:b/>
      </w:rPr>
      <w:t>SĄDOWNICTWA I PROKURATURY</w:t>
    </w:r>
  </w:p>
  <w:p w:rsidR="00CC7ECC" w:rsidRDefault="00AC144E">
    <w:pPr>
      <w:pStyle w:val="Nagwek"/>
      <w:tabs>
        <w:tab w:val="center" w:pos="1080"/>
        <w:tab w:val="left" w:pos="1440"/>
        <w:tab w:val="left" w:pos="10527"/>
      </w:tabs>
      <w:rPr>
        <w:rFonts w:ascii="Century Gothic" w:hAnsi="Century Gothic" w:cs="Century Gothic"/>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31C"/>
    <w:rsid w:val="004C5B85"/>
    <w:rsid w:val="006F031C"/>
    <w:rsid w:val="00A10B5C"/>
    <w:rsid w:val="00AC144E"/>
    <w:rsid w:val="00AC6E15"/>
    <w:rsid w:val="00DE56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031C"/>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6F031C"/>
  </w:style>
  <w:style w:type="character" w:customStyle="1" w:styleId="NagwekZnak">
    <w:name w:val="Nagłówek Znak"/>
    <w:basedOn w:val="Domylnaczcionkaakapitu"/>
    <w:link w:val="Nagwek"/>
    <w:rsid w:val="006F031C"/>
    <w:rPr>
      <w:rFonts w:ascii="Times New Roman" w:eastAsia="Times New Roman" w:hAnsi="Times New Roman" w:cs="Times New Roman"/>
      <w:sz w:val="24"/>
      <w:szCs w:val="24"/>
      <w:lang w:eastAsia="zh-CN"/>
    </w:rPr>
  </w:style>
  <w:style w:type="paragraph" w:styleId="Stopka">
    <w:name w:val="footer"/>
    <w:basedOn w:val="Normalny"/>
    <w:link w:val="StopkaZnak"/>
    <w:rsid w:val="006F031C"/>
    <w:pPr>
      <w:jc w:val="center"/>
    </w:pPr>
    <w:rPr>
      <w:sz w:val="20"/>
      <w:szCs w:val="20"/>
    </w:rPr>
  </w:style>
  <w:style w:type="character" w:customStyle="1" w:styleId="StopkaZnak">
    <w:name w:val="Stopka Znak"/>
    <w:basedOn w:val="Domylnaczcionkaakapitu"/>
    <w:link w:val="Stopka"/>
    <w:rsid w:val="006F031C"/>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F031C"/>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6F031C"/>
  </w:style>
  <w:style w:type="character" w:customStyle="1" w:styleId="NagwekZnak">
    <w:name w:val="Nagłówek Znak"/>
    <w:basedOn w:val="Domylnaczcionkaakapitu"/>
    <w:link w:val="Nagwek"/>
    <w:rsid w:val="006F031C"/>
    <w:rPr>
      <w:rFonts w:ascii="Times New Roman" w:eastAsia="Times New Roman" w:hAnsi="Times New Roman" w:cs="Times New Roman"/>
      <w:sz w:val="24"/>
      <w:szCs w:val="24"/>
      <w:lang w:eastAsia="zh-CN"/>
    </w:rPr>
  </w:style>
  <w:style w:type="paragraph" w:styleId="Stopka">
    <w:name w:val="footer"/>
    <w:basedOn w:val="Normalny"/>
    <w:link w:val="StopkaZnak"/>
    <w:rsid w:val="006F031C"/>
    <w:pPr>
      <w:jc w:val="center"/>
    </w:pPr>
    <w:rPr>
      <w:sz w:val="20"/>
      <w:szCs w:val="20"/>
    </w:rPr>
  </w:style>
  <w:style w:type="character" w:customStyle="1" w:styleId="StopkaZnak">
    <w:name w:val="Stopka Znak"/>
    <w:basedOn w:val="Domylnaczcionkaakapitu"/>
    <w:link w:val="Stopka"/>
    <w:rsid w:val="006F031C"/>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999</Words>
  <Characters>5998</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Zin</dc:creator>
  <cp:lastModifiedBy>Marta Zin</cp:lastModifiedBy>
  <cp:revision>2</cp:revision>
  <dcterms:created xsi:type="dcterms:W3CDTF">2019-10-02T10:53:00Z</dcterms:created>
  <dcterms:modified xsi:type="dcterms:W3CDTF">2019-10-03T10:37:00Z</dcterms:modified>
</cp:coreProperties>
</file>