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6E" w:rsidRPr="0045146E" w:rsidRDefault="0045146E" w:rsidP="004514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Kraków,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lipca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45146E" w:rsidRPr="0045146E" w:rsidRDefault="0045146E" w:rsidP="0045146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146E" w:rsidRPr="0045146E" w:rsidRDefault="0045146E" w:rsidP="0045146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146E" w:rsidRPr="0045146E" w:rsidRDefault="0045146E" w:rsidP="004514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146E" w:rsidRPr="0045146E" w:rsidRDefault="0045146E" w:rsidP="0045146E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Patroni Koordynatorzy</w:t>
      </w:r>
    </w:p>
    <w:p w:rsidR="0045146E" w:rsidRPr="0045146E" w:rsidRDefault="0045146E" w:rsidP="0045146E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Patroni Praktyk</w:t>
      </w:r>
    </w:p>
    <w:p w:rsidR="0045146E" w:rsidRPr="0045146E" w:rsidRDefault="0045146E" w:rsidP="0045146E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aplikantów aplikacji prokuratorskiej</w:t>
      </w:r>
    </w:p>
    <w:p w:rsidR="0045146E" w:rsidRPr="0045146E" w:rsidRDefault="0045146E" w:rsidP="0045146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146E" w:rsidRPr="0045146E" w:rsidRDefault="0045146E" w:rsidP="0045146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146E" w:rsidRPr="0045146E" w:rsidRDefault="0045146E" w:rsidP="0045146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Dot. praktyk aplikantów 9.</w:t>
      </w:r>
      <w:r w:rsidRPr="004514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rocznika aplikacji prokuratorskiej po XV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Pr="004514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zjeździe</w:t>
      </w:r>
    </w:p>
    <w:p w:rsidR="0045146E" w:rsidRPr="0045146E" w:rsidRDefault="0045146E" w:rsidP="004514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46E" w:rsidRP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2, 9 i 10 zarządzenia Dyrektora Krajowej Szkoły Sądownictwa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Prokuratury w Krakowie Nr 132/2019 z dnia 15 marca  2019 roku w sprawie szczegółowych zasad odbywania praktyk przez aplikantów aplikacji sędziowskiej i prokuratorskiej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przedstawiam szczegółowy zakres tematyczny, który winien być przedmiotem praktyk aplikantów aplikacji prokuratorskiej odbywanych w prokuraturach okręgowych – wydziałach postępowania sądowego 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>(3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tygodnie, tj. od 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 października 2019 r.,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 udziałem w posiedzeniu sądu penitencjarnego na terenie zakładu karnego lub aresztu śledczego oraz odbyciem co najmniej 1 dnia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w zakładzi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>e karnym lub areszcie śledczym)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146E" w:rsidRP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45146E" w:rsidRP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XVI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 aplikacji prokuratorskiej odbywającego się w dniach od 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4 października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 stanowią następujące zagadnienia:</w:t>
      </w:r>
    </w:p>
    <w:p w:rsidR="0045146E" w:rsidRPr="0045146E" w:rsidRDefault="0045146E" w:rsidP="0045146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 xml:space="preserve">prawo karne materialne (przestępstwa przeciwko środowisku, przestępstwa przeciwko wolności, wolności sumienia i wyznania, wolności seksualnej i obyczajowości), </w:t>
      </w:r>
    </w:p>
    <w:p w:rsidR="0045146E" w:rsidRPr="0045146E" w:rsidRDefault="0045146E" w:rsidP="0045146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prawo karne procesowe (</w:t>
      </w:r>
      <w:r w:rsidR="00F70DA1">
        <w:rPr>
          <w:rFonts w:ascii="Times New Roman" w:eastAsia="Times New Roman" w:hAnsi="Times New Roman" w:cs="Times New Roman"/>
          <w:sz w:val="24"/>
          <w:szCs w:val="24"/>
        </w:rPr>
        <w:t xml:space="preserve">nadzwyczajne środki zaskarżenia, </w:t>
      </w:r>
      <w:r w:rsidRPr="0045146E">
        <w:rPr>
          <w:rFonts w:ascii="Times New Roman" w:eastAsia="Times New Roman" w:hAnsi="Times New Roman" w:cs="Times New Roman"/>
          <w:sz w:val="24"/>
          <w:szCs w:val="24"/>
        </w:rPr>
        <w:t xml:space="preserve">podstawy </w:t>
      </w:r>
      <w:r w:rsidR="00F70DA1">
        <w:rPr>
          <w:rFonts w:ascii="Times New Roman" w:eastAsia="Times New Roman" w:hAnsi="Times New Roman" w:cs="Times New Roman"/>
          <w:sz w:val="24"/>
          <w:szCs w:val="24"/>
        </w:rPr>
        <w:t xml:space="preserve">i granice </w:t>
      </w:r>
      <w:r w:rsidRPr="0045146E">
        <w:rPr>
          <w:rFonts w:ascii="Times New Roman" w:eastAsia="Times New Roman" w:hAnsi="Times New Roman" w:cs="Times New Roman"/>
          <w:sz w:val="24"/>
          <w:szCs w:val="24"/>
        </w:rPr>
        <w:t>kasacji stron, szczególne uprawnienia Prokuratora Genera</w:t>
      </w:r>
      <w:r w:rsidR="00F70DA1">
        <w:rPr>
          <w:rFonts w:ascii="Times New Roman" w:eastAsia="Times New Roman" w:hAnsi="Times New Roman" w:cs="Times New Roman"/>
          <w:sz w:val="24"/>
          <w:szCs w:val="24"/>
        </w:rPr>
        <w:t xml:space="preserve">lnego, skarga na wyrok sądu odwoławczego, podstawy wznowienia postępowania, charakter, przedmiot i tryb wznowienia, </w:t>
      </w:r>
      <w:r w:rsidRPr="0045146E">
        <w:rPr>
          <w:rFonts w:ascii="Times New Roman" w:eastAsia="Times New Roman" w:hAnsi="Times New Roman" w:cs="Times New Roman"/>
          <w:sz w:val="24"/>
          <w:szCs w:val="24"/>
        </w:rPr>
        <w:t>podjęcia postępowania umorzonego</w:t>
      </w:r>
      <w:r w:rsidR="00F70DA1" w:rsidRPr="00F70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DA1" w:rsidRPr="0045146E">
        <w:rPr>
          <w:rFonts w:ascii="Times New Roman" w:eastAsia="Times New Roman" w:hAnsi="Times New Roman" w:cs="Times New Roman"/>
          <w:sz w:val="24"/>
          <w:szCs w:val="24"/>
        </w:rPr>
        <w:t>warunkowo</w:t>
      </w:r>
      <w:r w:rsidR="00F70DA1">
        <w:rPr>
          <w:rFonts w:ascii="Times New Roman" w:eastAsia="Times New Roman" w:hAnsi="Times New Roman" w:cs="Times New Roman"/>
          <w:sz w:val="24"/>
          <w:szCs w:val="24"/>
        </w:rPr>
        <w:t xml:space="preserve"> – przesłanki i tryb</w:t>
      </w:r>
      <w:r w:rsidRPr="0045146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70DA1">
        <w:rPr>
          <w:rFonts w:ascii="Times New Roman" w:eastAsia="Times New Roman" w:hAnsi="Times New Roman" w:cs="Times New Roman"/>
          <w:sz w:val="24"/>
          <w:szCs w:val="24"/>
        </w:rPr>
        <w:t>odszkodowanie i zadość uczynienia za niewątpliwie ni</w:t>
      </w:r>
      <w:r w:rsidRPr="0045146E">
        <w:rPr>
          <w:rFonts w:ascii="Times New Roman" w:eastAsia="Times New Roman" w:hAnsi="Times New Roman" w:cs="Times New Roman"/>
          <w:sz w:val="24"/>
          <w:szCs w:val="24"/>
        </w:rPr>
        <w:t>esłuszne skazanie, tymczasowe aresztowanie i zatrzymanie; przesłanki oraz tryb ułaskawienia</w:t>
      </w:r>
      <w:r w:rsidR="00F70DA1">
        <w:rPr>
          <w:rFonts w:ascii="Times New Roman" w:eastAsia="Times New Roman" w:hAnsi="Times New Roman" w:cs="Times New Roman"/>
          <w:sz w:val="24"/>
          <w:szCs w:val="24"/>
        </w:rPr>
        <w:t>; faktyczne i prawne konsekwencje przewlekłości postępowania karnego, skarga na naruszenie prawa strony do rozpoznania sprawy w postępowaniu przygotowawczym prowadzonym lub nadzorowanym przez prokuratora i postępowaniu sądowym bez nieuzasadnionej zwłoki</w:t>
      </w:r>
      <w:r w:rsidRPr="0045146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45146E" w:rsidRDefault="0045146E" w:rsidP="00F70DA1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prawo karne wykonawcze (rola prokuratora </w:t>
      </w:r>
      <w:r w:rsidR="00F70DA1">
        <w:rPr>
          <w:rFonts w:ascii="Times New Roman" w:eastAsia="Times New Roman" w:hAnsi="Times New Roman" w:cs="Times New Roman"/>
          <w:sz w:val="24"/>
          <w:szCs w:val="24"/>
        </w:rPr>
        <w:t>w postępowaniu wykonawczym</w:t>
      </w:r>
      <w:r w:rsidRPr="004514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0DA1">
        <w:rPr>
          <w:rFonts w:ascii="Times New Roman" w:eastAsia="Times New Roman" w:hAnsi="Times New Roman" w:cs="Times New Roman"/>
          <w:sz w:val="24"/>
          <w:szCs w:val="24"/>
        </w:rPr>
        <w:t>odroczenie wykonania i przerwa</w:t>
      </w:r>
      <w:r w:rsidRPr="0045146E">
        <w:rPr>
          <w:rFonts w:ascii="Times New Roman" w:eastAsia="Times New Roman" w:hAnsi="Times New Roman" w:cs="Times New Roman"/>
          <w:sz w:val="24"/>
          <w:szCs w:val="24"/>
        </w:rPr>
        <w:t xml:space="preserve"> w wykonaniu kary pozbawienia wolności</w:t>
      </w:r>
      <w:r w:rsidR="00F70DA1">
        <w:rPr>
          <w:rFonts w:ascii="Times New Roman" w:eastAsia="Times New Roman" w:hAnsi="Times New Roman" w:cs="Times New Roman"/>
          <w:sz w:val="24"/>
          <w:szCs w:val="24"/>
        </w:rPr>
        <w:t>; warunkowe przedterminowe zwolnienie)</w:t>
      </w:r>
      <w:r w:rsidRPr="00451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DA1" w:rsidRPr="0045146E" w:rsidRDefault="00F70DA1" w:rsidP="00F70DA1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46E" w:rsidRP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oraz patroni koordynatorzy powinni zadbać, aby aplikanci mieli możliwość zapoznania się z praktyczną stroną udziału prokuratora w postępowaniach objętych tematyką zjazdu. </w:t>
      </w:r>
    </w:p>
    <w:p w:rsidR="0045146E" w:rsidRP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praktyki jest zapoznanie się z problematyką sporządzania kasacji i odpowiedzi na kasację, utrwalenie umiejętności sporządzania zażalenia na 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o odroczeniu wykonania kary pozbawienia wolności, o udzieleniu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</w:t>
      </w:r>
      <w:r w:rsidR="00F7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wykonaniu kary pozbawienia </w:t>
      </w:r>
      <w:r w:rsidR="00CC5316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oraz o warunkowym przedterminowym zwolnieniu, a nadto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aplikantów        z metodyką udziału prokuratora w postępowaniach objętych tematyką zjazdu.</w:t>
      </w:r>
    </w:p>
    <w:p w:rsidR="0045146E" w:rsidRP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Mając na uwadze, iż przedmiotem sprawdzianu po XVI</w:t>
      </w:r>
      <w:r w:rsidR="002F1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451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zjeździe jest sporządzenie </w:t>
      </w:r>
      <w:r w:rsidR="002F1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 nadzwyczajnego środka zaskarżenia lub odpowiedzi na taki środek</w:t>
      </w:r>
      <w:r w:rsidRPr="00451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podstawowym celem praktyki jest, aby aplikanci opanowali tę właśnie umiejętność w jak najwyższym stopniu. Każdorazowo sporządzone projekty </w:t>
      </w:r>
      <w:r w:rsidR="002F13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nadzwyczajnych środków zaskarżenia lub odpowiedzi na nie</w:t>
      </w:r>
      <w:r w:rsidRPr="00451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powinny zostać omówione przez patrona z aplikantem z perspektywy ich poprawności merytorycznej i formalnej.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omawiania tych projektów patroni powinni przede wszystkim zwracać uwagę na: </w:t>
      </w:r>
    </w:p>
    <w:p w:rsidR="0045146E" w:rsidRPr="0045146E" w:rsidRDefault="0045146E" w:rsidP="0045146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poprawność formułowania zarzutów podnoszonych w kasacji prokuratora,</w:t>
      </w:r>
    </w:p>
    <w:p w:rsidR="0045146E" w:rsidRPr="0045146E" w:rsidRDefault="0045146E" w:rsidP="0045146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umiejętność identyfikowania kardynalnych błędów zaistniałych w postępowaniu przed sądem odwoławczym, które miały istotny wpływ na treść orzeczenia (w oparciu o analizę całości akt spraw – w tym protokołów rozpraw), lub innego rodzaju rażącego naruszenia prawa powodującego identyczne następstwo,</w:t>
      </w:r>
    </w:p>
    <w:p w:rsidR="0045146E" w:rsidRPr="0045146E" w:rsidRDefault="0045146E" w:rsidP="0045146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umiejętność trafnej oceny zarzutów podnoszonych w kasacjach obrońców, m.in. w związku z rozróżnieniem kasacji bezzasadnych i oczywiście bezzasadnych.</w:t>
      </w:r>
    </w:p>
    <w:p w:rsidR="0045146E" w:rsidRP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będzie również umożliwienie aplikantom zapoznania się z jak największą liczbą spraw, w toku których wywiedziono i rozpoznano nadzwyczajne środki zaskarżenia oraz omówienia ich z patronem w kontekście zapadłego w sprawie ostatecznego rozstrzygnięcia podjętego przez właściwy sąd.</w:t>
      </w:r>
    </w:p>
    <w:p w:rsid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Aplikanci powinni mieć możliwość zapoznania się z aktami spraw, w których prokurator wywiódł kasację albo w których doszło do podjęcia postępowania warunkowo umorzonego lub do wznowienia postępowania sądowego, a także ze sprawami z wniosków o odszkodowanie </w:t>
      </w:r>
      <w:r w:rsidR="00685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zadośćuczynienie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85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niewątpliwie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niesłuszne skazanie, tymczasowe aresztowanie i zatrzymanie oraz o ułaskawienie. Analiza akt powinna zakończyć się omówieniem z patronem występujących w sprawie istotnych zagadnień proceduralnych i materialnoprawnych. </w:t>
      </w:r>
    </w:p>
    <w:p w:rsidR="002F136E" w:rsidRPr="0045146E" w:rsidRDefault="002F13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Aplikantom należy ponadto umożliwić sporządzenie projektów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zażaleń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o odroczeniu wykonania kary pozbawienia wolności, o udzieleniu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wykonaniu kary pozbawienia wolności oraz o warunk</w:t>
      </w:r>
      <w:r w:rsidR="006850BB">
        <w:rPr>
          <w:rFonts w:ascii="Times New Roman" w:eastAsia="Times New Roman" w:hAnsi="Times New Roman" w:cs="Times New Roman"/>
          <w:sz w:val="24"/>
          <w:szCs w:val="24"/>
          <w:lang w:eastAsia="pl-PL"/>
        </w:rPr>
        <w:t>owym przedterminowym zwolnieniu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146E" w:rsidRP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uwadze właściwe przygotowanie aplikantów do wykonywania zawodu prokuratora, niezbędne jest umożliwienie im nabycie wiedzy dotyczącej funkcjonowania 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zakładu karnego bądź aresztu śledczego oraz sytuacji osób osadzonych. W trakcie odbywanej praktyki aplikanci powinni zaznajomić się z funkcjonowaniem jednostek organizacyjnych Służby Więziennej,  ich strukturą organizacyjną, zadaniami w zakresie wykonywania tymczasowego aresztowania oraz kar pozbawienia wolności i środków przymusu skutkujących pozbawieniem wolności, zadaniami wynikającymi z Kodeksu karnego wykonawczego, a w szczególności z zagadnieniami dotyczącymi:</w:t>
      </w:r>
    </w:p>
    <w:p w:rsidR="0045146E" w:rsidRPr="0045146E" w:rsidRDefault="0045146E" w:rsidP="0045146E">
      <w:pPr>
        <w:numPr>
          <w:ilvl w:val="0"/>
          <w:numId w:val="1"/>
        </w:numPr>
        <w:spacing w:before="120" w:after="12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przyjmowania tymczasowo aresztowanych, skazanych i ukaranych,</w:t>
      </w:r>
    </w:p>
    <w:p w:rsidR="0045146E" w:rsidRPr="0045146E" w:rsidRDefault="0045146E" w:rsidP="0045146E">
      <w:pPr>
        <w:numPr>
          <w:ilvl w:val="0"/>
          <w:numId w:val="1"/>
        </w:numPr>
        <w:spacing w:before="120" w:after="12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korespondencji osadzonych,</w:t>
      </w:r>
    </w:p>
    <w:p w:rsidR="0045146E" w:rsidRPr="0045146E" w:rsidRDefault="0045146E" w:rsidP="0045146E">
      <w:pPr>
        <w:numPr>
          <w:ilvl w:val="0"/>
          <w:numId w:val="1"/>
        </w:numPr>
        <w:spacing w:before="120" w:after="12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obliczania okresu wykonywania kar i środków przymusu,</w:t>
      </w:r>
    </w:p>
    <w:p w:rsidR="0045146E" w:rsidRPr="0045146E" w:rsidRDefault="0045146E" w:rsidP="0045146E">
      <w:pPr>
        <w:numPr>
          <w:ilvl w:val="0"/>
          <w:numId w:val="1"/>
        </w:numPr>
        <w:spacing w:before="120" w:after="12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wydawania tymczasowo aresztowanych, skazanych i ukaranych,</w:t>
      </w:r>
    </w:p>
    <w:p w:rsidR="0045146E" w:rsidRPr="0045146E" w:rsidRDefault="0045146E" w:rsidP="0045146E">
      <w:pPr>
        <w:numPr>
          <w:ilvl w:val="0"/>
          <w:numId w:val="1"/>
        </w:numPr>
        <w:spacing w:before="120" w:after="12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zwalniania osadzonych,</w:t>
      </w:r>
    </w:p>
    <w:p w:rsidR="0045146E" w:rsidRPr="0045146E" w:rsidRDefault="0045146E" w:rsidP="0045146E">
      <w:pPr>
        <w:numPr>
          <w:ilvl w:val="0"/>
          <w:numId w:val="1"/>
        </w:numPr>
        <w:spacing w:before="120" w:after="12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komisji penitencjarnych, jako organów postępowania wykonawczego,</w:t>
      </w:r>
    </w:p>
    <w:p w:rsidR="002F136E" w:rsidRDefault="0045146E" w:rsidP="002F136E">
      <w:pPr>
        <w:numPr>
          <w:ilvl w:val="0"/>
          <w:numId w:val="1"/>
        </w:numPr>
        <w:spacing w:before="120" w:after="12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6E">
        <w:rPr>
          <w:rFonts w:ascii="Times New Roman" w:eastAsia="Times New Roman" w:hAnsi="Times New Roman" w:cs="Times New Roman"/>
          <w:sz w:val="24"/>
          <w:szCs w:val="24"/>
        </w:rPr>
        <w:t>systemu odb</w:t>
      </w:r>
      <w:r w:rsidR="002F136E">
        <w:rPr>
          <w:rFonts w:ascii="Times New Roman" w:eastAsia="Times New Roman" w:hAnsi="Times New Roman" w:cs="Times New Roman"/>
          <w:sz w:val="24"/>
          <w:szCs w:val="24"/>
        </w:rPr>
        <w:t>ywania kar pozbawienia wolności.</w:t>
      </w:r>
    </w:p>
    <w:p w:rsidR="002F136E" w:rsidRPr="0045146E" w:rsidRDefault="002F136E" w:rsidP="002F136E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46E" w:rsidRPr="0045146E" w:rsidRDefault="0045146E" w:rsidP="0045146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Aplikanci powinni ponadto uczestniczyć w posiedzeniu sądu penitencjarnego na terenie zakładu karnego oraz (w miarę możliwości ) w posiedzeniu komisji penitencjarnej, a nadto mieć możliwość zaznajomienia się z działalnością administracji zakładów karnych, metodyką zbierania przez ten organ dokumentów przedstawianych następnie na posiedzeniu oraz wnioskami prezentowanymi przez przedstawicieli zakładu karnego przed sądem.</w:t>
      </w:r>
    </w:p>
    <w:p w:rsidR="0045146E" w:rsidRPr="0045146E" w:rsidRDefault="0045146E" w:rsidP="0045146E">
      <w:pPr>
        <w:spacing w:before="120" w:after="12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46E" w:rsidRPr="0045146E" w:rsidRDefault="0045146E" w:rsidP="0045146E">
      <w:pPr>
        <w:spacing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46E" w:rsidRPr="0045146E" w:rsidRDefault="0045146E" w:rsidP="0045146E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p.o. Kierownika</w:t>
      </w: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Działu Dydaktycznego OAP</w:t>
      </w:r>
    </w:p>
    <w:p w:rsidR="0045146E" w:rsidRPr="0045146E" w:rsidRDefault="0045146E" w:rsidP="0045146E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46E" w:rsidRPr="0045146E" w:rsidRDefault="0045146E" w:rsidP="0045146E">
      <w:pPr>
        <w:spacing w:after="0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Zin</w:t>
      </w:r>
    </w:p>
    <w:p w:rsidR="0045146E" w:rsidRPr="0045146E" w:rsidRDefault="0045146E" w:rsidP="0045146E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6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prokurator</w:t>
      </w:r>
    </w:p>
    <w:p w:rsidR="0045146E" w:rsidRPr="0045146E" w:rsidRDefault="0045146E" w:rsidP="0045146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B4FCD" w:rsidRDefault="00AB4FCD"/>
    <w:sectPr w:rsidR="00AB4FCD" w:rsidSect="00EE03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7A" w:rsidRDefault="002E5B7A">
      <w:pPr>
        <w:spacing w:after="0" w:line="240" w:lineRule="auto"/>
      </w:pPr>
      <w:r>
        <w:separator/>
      </w:r>
    </w:p>
  </w:endnote>
  <w:endnote w:type="continuationSeparator" w:id="0">
    <w:p w:rsidR="002E5B7A" w:rsidRDefault="002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Default="006850B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C0DF4">
      <w:rPr>
        <w:noProof/>
      </w:rPr>
      <w:t>3</w:t>
    </w:r>
    <w:r>
      <w:fldChar w:fldCharType="end"/>
    </w:r>
  </w:p>
  <w:p w:rsidR="000D4498" w:rsidRDefault="002E5B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0D4498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0D4498" w:rsidRPr="0074505E" w:rsidRDefault="002E5B7A" w:rsidP="00EE0317">
          <w:pPr>
            <w:pStyle w:val="Stopka"/>
            <w:rPr>
              <w:sz w:val="4"/>
              <w:szCs w:val="4"/>
            </w:rPr>
          </w:pPr>
        </w:p>
      </w:tc>
    </w:tr>
  </w:tbl>
  <w:p w:rsidR="000D4498" w:rsidRPr="00A944C8" w:rsidRDefault="006850BB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0D4498" w:rsidRPr="00A944C8" w:rsidRDefault="006850BB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0D4498" w:rsidRDefault="002E5B7A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7A" w:rsidRDefault="002E5B7A">
      <w:pPr>
        <w:spacing w:after="0" w:line="240" w:lineRule="auto"/>
      </w:pPr>
      <w:r>
        <w:separator/>
      </w:r>
    </w:p>
  </w:footnote>
  <w:footnote w:type="continuationSeparator" w:id="0">
    <w:p w:rsidR="002E5B7A" w:rsidRDefault="002E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Pr="009B38B3" w:rsidRDefault="002E5B7A" w:rsidP="00EE0317">
    <w:pPr>
      <w:pStyle w:val="Nagwek"/>
      <w:jc w:val="right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98" w:rsidRDefault="006850BB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020364" wp14:editId="5248FA9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</w:t>
    </w:r>
  </w:p>
  <w:p w:rsidR="000D4498" w:rsidRDefault="002E5B7A" w:rsidP="00EE0317">
    <w:pPr>
      <w:pStyle w:val="Nagwek"/>
      <w:ind w:right="4959"/>
      <w:jc w:val="center"/>
      <w:rPr>
        <w:b/>
      </w:rPr>
    </w:pPr>
  </w:p>
  <w:p w:rsidR="000D4498" w:rsidRPr="009E7ADE" w:rsidRDefault="002E5B7A" w:rsidP="00EE0317">
    <w:pPr>
      <w:pStyle w:val="Nagwek"/>
      <w:ind w:left="-851" w:right="5526"/>
      <w:jc w:val="center"/>
      <w:rPr>
        <w:b/>
        <w:sz w:val="8"/>
        <w:szCs w:val="8"/>
      </w:rPr>
    </w:pPr>
  </w:p>
  <w:p w:rsidR="000D4498" w:rsidRPr="00551ABF" w:rsidRDefault="006850BB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0D4498" w:rsidRPr="00D021CB" w:rsidRDefault="006850BB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0D4498" w:rsidRPr="004F17DC" w:rsidRDefault="002E5B7A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D42"/>
    <w:multiLevelType w:val="hybridMultilevel"/>
    <w:tmpl w:val="3B9644CC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92AFE"/>
    <w:multiLevelType w:val="hybridMultilevel"/>
    <w:tmpl w:val="8D3EF7FE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E"/>
    <w:rsid w:val="000C0DF4"/>
    <w:rsid w:val="002E5B7A"/>
    <w:rsid w:val="002F136E"/>
    <w:rsid w:val="0045146E"/>
    <w:rsid w:val="006850BB"/>
    <w:rsid w:val="00AB4FCD"/>
    <w:rsid w:val="00CC5316"/>
    <w:rsid w:val="00F7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146E"/>
  </w:style>
  <w:style w:type="paragraph" w:styleId="Nagwek">
    <w:name w:val="header"/>
    <w:basedOn w:val="Normalny"/>
    <w:link w:val="NagwekZnak"/>
    <w:rsid w:val="0045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51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146E"/>
  </w:style>
  <w:style w:type="paragraph" w:styleId="Nagwek">
    <w:name w:val="header"/>
    <w:basedOn w:val="Normalny"/>
    <w:link w:val="NagwekZnak"/>
    <w:rsid w:val="00451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51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2</cp:revision>
  <dcterms:created xsi:type="dcterms:W3CDTF">2019-09-11T09:40:00Z</dcterms:created>
  <dcterms:modified xsi:type="dcterms:W3CDTF">2019-09-11T09:40:00Z</dcterms:modified>
</cp:coreProperties>
</file>