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F9" w:rsidRDefault="00DA4D81" w:rsidP="003A0DB5">
      <w:pPr>
        <w:jc w:val="right"/>
      </w:pPr>
      <w:r w:rsidRPr="006411E2">
        <w:tab/>
      </w:r>
      <w:r w:rsidRPr="006411E2">
        <w:tab/>
      </w:r>
      <w:r w:rsidRPr="006411E2">
        <w:tab/>
        <w:t xml:space="preserve">    </w:t>
      </w:r>
    </w:p>
    <w:p w:rsidR="00DA4D81" w:rsidRDefault="00FF6DF9" w:rsidP="003A0DB5">
      <w:pPr>
        <w:jc w:val="right"/>
      </w:pPr>
      <w:r>
        <w:t xml:space="preserve">   </w:t>
      </w:r>
      <w:r w:rsidR="00DA4D81" w:rsidRPr="006411E2">
        <w:t xml:space="preserve"> </w:t>
      </w:r>
      <w:r w:rsidR="003A0DB5">
        <w:t>Kraków</w:t>
      </w:r>
      <w:r w:rsidR="00E20DFE">
        <w:t>,</w:t>
      </w:r>
      <w:r w:rsidR="003A0DB5">
        <w:t xml:space="preserve"> dnia </w:t>
      </w:r>
      <w:r w:rsidR="00702EA8">
        <w:t>2 marca</w:t>
      </w:r>
      <w:r w:rsidR="008F7B8A">
        <w:t xml:space="preserve"> 2021</w:t>
      </w:r>
      <w:r w:rsidR="007F63BF">
        <w:t xml:space="preserve"> </w:t>
      </w:r>
      <w:r w:rsidR="003A0DB5">
        <w:t>r.</w:t>
      </w:r>
    </w:p>
    <w:p w:rsidR="0090738F" w:rsidRDefault="0090738F" w:rsidP="000B2D57">
      <w:pPr>
        <w:spacing w:line="360" w:lineRule="auto"/>
        <w:jc w:val="both"/>
        <w:rPr>
          <w:i/>
          <w:iCs/>
        </w:rPr>
      </w:pPr>
    </w:p>
    <w:p w:rsidR="00AE69A6" w:rsidRPr="00203B66" w:rsidRDefault="00182298" w:rsidP="00AE69A6">
      <w:r w:rsidRPr="00D85D5A">
        <w:t>OAS – II.</w:t>
      </w:r>
      <w:r w:rsidR="00984FCD" w:rsidRPr="00D85D5A">
        <w:t>420</w:t>
      </w:r>
      <w:r w:rsidR="00746720" w:rsidRPr="00D85D5A">
        <w:t>.</w:t>
      </w:r>
      <w:r w:rsidR="008F7B8A">
        <w:t>4</w:t>
      </w:r>
      <w:r w:rsidR="00D85D5A" w:rsidRPr="00D85D5A">
        <w:t>5.2020</w:t>
      </w:r>
    </w:p>
    <w:p w:rsidR="00AE69A6" w:rsidRDefault="00AE69A6" w:rsidP="000B2D57">
      <w:pPr>
        <w:spacing w:line="360" w:lineRule="auto"/>
        <w:jc w:val="both"/>
        <w:rPr>
          <w:i/>
          <w:iCs/>
        </w:rPr>
      </w:pPr>
    </w:p>
    <w:p w:rsidR="000B2D57" w:rsidRDefault="00E20DFE" w:rsidP="000B2D57">
      <w:pPr>
        <w:spacing w:line="360" w:lineRule="auto"/>
        <w:jc w:val="both"/>
        <w:rPr>
          <w:i/>
          <w:iCs/>
        </w:rPr>
      </w:pPr>
      <w:r>
        <w:rPr>
          <w:i/>
          <w:iCs/>
        </w:rPr>
        <w:t>Dot. praktyk a</w:t>
      </w:r>
      <w:bookmarkStart w:id="0" w:name="_GoBack"/>
      <w:bookmarkEnd w:id="0"/>
      <w:r>
        <w:rPr>
          <w:i/>
          <w:iCs/>
        </w:rPr>
        <w:t xml:space="preserve">plikantów </w:t>
      </w:r>
      <w:r w:rsidR="008F7B8A">
        <w:rPr>
          <w:i/>
          <w:iCs/>
        </w:rPr>
        <w:t>1</w:t>
      </w:r>
      <w:r w:rsidR="00AE69A6">
        <w:rPr>
          <w:i/>
          <w:iCs/>
        </w:rPr>
        <w:t xml:space="preserve"> </w:t>
      </w:r>
      <w:r w:rsidR="000B2D57">
        <w:rPr>
          <w:i/>
          <w:iCs/>
        </w:rPr>
        <w:t>roczn</w:t>
      </w:r>
      <w:r w:rsidR="00675837">
        <w:rPr>
          <w:i/>
          <w:iCs/>
        </w:rPr>
        <w:t xml:space="preserve">ika aplikacji </w:t>
      </w:r>
      <w:r w:rsidR="008F7B8A">
        <w:rPr>
          <w:i/>
          <w:iCs/>
        </w:rPr>
        <w:t xml:space="preserve">uzupełniającej </w:t>
      </w:r>
      <w:r w:rsidR="00675837">
        <w:rPr>
          <w:i/>
          <w:iCs/>
        </w:rPr>
        <w:t>sędziowskiej po X</w:t>
      </w:r>
      <w:r w:rsidR="00997425">
        <w:rPr>
          <w:i/>
          <w:iCs/>
        </w:rPr>
        <w:t>V</w:t>
      </w:r>
      <w:r w:rsidR="000B2D57">
        <w:rPr>
          <w:i/>
          <w:iCs/>
        </w:rPr>
        <w:t xml:space="preserve"> zjeździe</w:t>
      </w:r>
    </w:p>
    <w:p w:rsidR="000B2D57" w:rsidRDefault="000B2D57" w:rsidP="000B2D57">
      <w:pPr>
        <w:spacing w:line="360" w:lineRule="auto"/>
        <w:rPr>
          <w:b/>
          <w:bCs/>
        </w:rPr>
      </w:pPr>
    </w:p>
    <w:p w:rsidR="000B2D57" w:rsidRDefault="000B2D57" w:rsidP="000F09A4">
      <w:pPr>
        <w:spacing w:line="360" w:lineRule="auto"/>
        <w:rPr>
          <w:b/>
          <w:bCs/>
        </w:rPr>
      </w:pPr>
    </w:p>
    <w:p w:rsidR="00087C9C" w:rsidRDefault="00087C9C" w:rsidP="000F09A4">
      <w:pPr>
        <w:spacing w:line="360" w:lineRule="auto"/>
        <w:rPr>
          <w:b/>
          <w:bCs/>
        </w:rPr>
      </w:pPr>
    </w:p>
    <w:p w:rsidR="000F09A4" w:rsidRPr="00A43F4F" w:rsidRDefault="000F09A4" w:rsidP="000F09A4">
      <w:pPr>
        <w:spacing w:line="360" w:lineRule="auto"/>
        <w:ind w:left="4956"/>
        <w:rPr>
          <w:b/>
        </w:rPr>
      </w:pPr>
      <w:r w:rsidRPr="00A43F4F">
        <w:rPr>
          <w:b/>
        </w:rPr>
        <w:t>Do</w:t>
      </w:r>
    </w:p>
    <w:p w:rsidR="000F09A4" w:rsidRPr="00A43F4F" w:rsidRDefault="000F09A4" w:rsidP="000F09A4">
      <w:pPr>
        <w:spacing w:line="360" w:lineRule="auto"/>
        <w:ind w:left="4956"/>
        <w:rPr>
          <w:b/>
        </w:rPr>
      </w:pPr>
      <w:r>
        <w:rPr>
          <w:b/>
        </w:rPr>
        <w:t>p</w:t>
      </w:r>
      <w:r w:rsidRPr="00A43F4F">
        <w:rPr>
          <w:b/>
        </w:rPr>
        <w:t>atronów praktyk</w:t>
      </w:r>
    </w:p>
    <w:p w:rsidR="000F09A4" w:rsidRPr="00A43F4F" w:rsidRDefault="000F09A4" w:rsidP="000F09A4">
      <w:pPr>
        <w:spacing w:line="360" w:lineRule="auto"/>
        <w:ind w:left="4956"/>
        <w:rPr>
          <w:b/>
        </w:rPr>
      </w:pPr>
      <w:r w:rsidRPr="00A43F4F">
        <w:rPr>
          <w:b/>
        </w:rPr>
        <w:t xml:space="preserve">oraz </w:t>
      </w:r>
      <w:r>
        <w:rPr>
          <w:b/>
        </w:rPr>
        <w:t>p</w:t>
      </w:r>
      <w:r w:rsidRPr="00A43F4F">
        <w:rPr>
          <w:b/>
        </w:rPr>
        <w:t xml:space="preserve">atronów </w:t>
      </w:r>
      <w:r>
        <w:rPr>
          <w:b/>
        </w:rPr>
        <w:t>k</w:t>
      </w:r>
      <w:r w:rsidRPr="00A43F4F">
        <w:rPr>
          <w:b/>
        </w:rPr>
        <w:t>oordynatorów</w:t>
      </w:r>
    </w:p>
    <w:p w:rsidR="000F09A4" w:rsidRPr="00A43F4F" w:rsidRDefault="000F09A4" w:rsidP="000F09A4">
      <w:pPr>
        <w:spacing w:line="360" w:lineRule="auto"/>
        <w:ind w:left="4956"/>
        <w:rPr>
          <w:b/>
        </w:rPr>
      </w:pPr>
      <w:r w:rsidRPr="00A43F4F">
        <w:rPr>
          <w:b/>
        </w:rPr>
        <w:t>aplikantów aplikacji</w:t>
      </w:r>
      <w:r>
        <w:rPr>
          <w:b/>
        </w:rPr>
        <w:t xml:space="preserve"> sędziowskiej </w:t>
      </w:r>
    </w:p>
    <w:p w:rsidR="000F09A4" w:rsidRDefault="000F09A4" w:rsidP="000F09A4">
      <w:pPr>
        <w:spacing w:line="360" w:lineRule="auto"/>
        <w:ind w:left="708"/>
        <w:jc w:val="both"/>
      </w:pPr>
    </w:p>
    <w:p w:rsidR="00087C9C" w:rsidRDefault="00087C9C" w:rsidP="000F09A4">
      <w:pPr>
        <w:spacing w:line="360" w:lineRule="auto"/>
        <w:ind w:left="708"/>
        <w:jc w:val="both"/>
      </w:pPr>
    </w:p>
    <w:p w:rsidR="00D723AD" w:rsidRDefault="00D723AD" w:rsidP="000F09A4">
      <w:pPr>
        <w:spacing w:line="360" w:lineRule="auto"/>
        <w:ind w:firstLine="708"/>
        <w:jc w:val="both"/>
      </w:pPr>
    </w:p>
    <w:p w:rsidR="00A65EDE" w:rsidRPr="00A43F4F" w:rsidRDefault="00997425" w:rsidP="00A65EDE">
      <w:pPr>
        <w:spacing w:line="360" w:lineRule="auto"/>
        <w:ind w:firstLine="708"/>
        <w:jc w:val="both"/>
      </w:pPr>
      <w:r>
        <w:t>W oparciu o § 2</w:t>
      </w:r>
      <w:r w:rsidR="00A65EDE" w:rsidRPr="00A43F4F">
        <w:t xml:space="preserve"> </w:t>
      </w:r>
      <w:r w:rsidR="004C0BD9">
        <w:t xml:space="preserve">i § 9 </w:t>
      </w:r>
      <w:r w:rsidR="00A65EDE" w:rsidRPr="00A43F4F">
        <w:t>zarządzenia Dyrektora Krajowej Szkoły Sądownictwa i Prokuratury w Krakowie Nr 13</w:t>
      </w:r>
      <w:r>
        <w:t>2/2019 z dnia 15 marca 2019</w:t>
      </w:r>
      <w:r w:rsidR="00A65EDE" w:rsidRPr="00A43F4F">
        <w:t xml:space="preserve"> roku w sprawie szczeg</w:t>
      </w:r>
      <w:r w:rsidR="00A65EDE">
        <w:t>ółowych zasad odbywania praktyk</w:t>
      </w:r>
      <w:r w:rsidR="00A65EDE" w:rsidRPr="00A43F4F">
        <w:t xml:space="preserve"> przez ap</w:t>
      </w:r>
      <w:r>
        <w:t>likantów aplikacji sędziowskiej i</w:t>
      </w:r>
      <w:r w:rsidR="00A65EDE" w:rsidRPr="00A43F4F">
        <w:t xml:space="preserve"> prokuratorskiej</w:t>
      </w:r>
      <w:r>
        <w:t xml:space="preserve"> uprzejmie </w:t>
      </w:r>
      <w:r w:rsidR="00A65EDE" w:rsidRPr="00A43F4F">
        <w:t xml:space="preserve">przedstawiam szczegółowy zakres tematyczny, który winien być przedmiotem praktyk aplikantów aplikacji </w:t>
      </w:r>
      <w:r w:rsidR="00C23EAF">
        <w:t xml:space="preserve">uzupełniającej </w:t>
      </w:r>
      <w:r w:rsidR="00A65EDE">
        <w:t>sędziowskiej</w:t>
      </w:r>
      <w:r w:rsidR="00A65EDE" w:rsidRPr="00A43F4F">
        <w:t xml:space="preserve"> odbywanych w </w:t>
      </w:r>
      <w:r w:rsidR="00A65EDE">
        <w:t xml:space="preserve">dniach od </w:t>
      </w:r>
      <w:r w:rsidR="008F7B8A">
        <w:t>22 marca 2021 r. do 9 kwietnia 2021 r.</w:t>
      </w:r>
      <w:r w:rsidR="006C5695">
        <w:t xml:space="preserve"> </w:t>
      </w:r>
      <w:r w:rsidR="00746720">
        <w:t>po X</w:t>
      </w:r>
      <w:r>
        <w:t>V</w:t>
      </w:r>
      <w:r w:rsidR="00A65EDE">
        <w:t> </w:t>
      </w:r>
      <w:r w:rsidR="00A65EDE" w:rsidRPr="00A43F4F">
        <w:t>zjeździe</w:t>
      </w:r>
      <w:r w:rsidR="00A65EDE">
        <w:t>, który</w:t>
      </w:r>
      <w:r w:rsidR="00A65EDE" w:rsidRPr="00A43F4F">
        <w:t xml:space="preserve"> odb</w:t>
      </w:r>
      <w:r w:rsidR="00E032F9">
        <w:t xml:space="preserve">ył się </w:t>
      </w:r>
      <w:r w:rsidR="00A65EDE" w:rsidRPr="00A43F4F">
        <w:t xml:space="preserve">w dniach </w:t>
      </w:r>
      <w:r w:rsidR="00E032F9">
        <w:t>20- 2</w:t>
      </w:r>
      <w:r w:rsidR="008F7B8A">
        <w:t>1 marca 2021</w:t>
      </w:r>
      <w:r w:rsidR="00E032F9">
        <w:t xml:space="preserve"> </w:t>
      </w:r>
      <w:r w:rsidR="00A65EDE">
        <w:t>r.</w:t>
      </w:r>
      <w:r w:rsidR="00A65EDE" w:rsidRPr="00A43F4F">
        <w:t xml:space="preserve"> </w:t>
      </w:r>
    </w:p>
    <w:p w:rsidR="000F09A4" w:rsidRDefault="000F09A4" w:rsidP="000F09A4">
      <w:pPr>
        <w:spacing w:line="360" w:lineRule="auto"/>
        <w:ind w:firstLine="708"/>
        <w:jc w:val="both"/>
      </w:pPr>
      <w:r w:rsidRPr="00E1542B">
        <w:t xml:space="preserve">Założeniem praktyki </w:t>
      </w:r>
      <w:r>
        <w:t>co do zasady</w:t>
      </w:r>
      <w:r w:rsidRPr="00E1542B">
        <w:t xml:space="preserve"> jest zaznajomienie aplikantów z czynnościami i metodyką pracy sędziego oraz doskonalenie umiejętności wykorzystania wiedzy teoretycznej i znajomości orzecznictwa. </w:t>
      </w:r>
      <w:r>
        <w:t>P</w:t>
      </w:r>
      <w:r w:rsidRPr="00E1542B">
        <w:t>raktyka winna utrwal</w:t>
      </w:r>
      <w:r>
        <w:t>a</w:t>
      </w:r>
      <w:r w:rsidRPr="00E1542B">
        <w:t>ć wiedzę zdobytą podczas bezpośrednio poprzedzających ją zajęć seminaryjnych w ramach zjazdu.</w:t>
      </w:r>
    </w:p>
    <w:p w:rsidR="000B2D57" w:rsidRPr="00330370" w:rsidRDefault="000B2D57" w:rsidP="000B2D57">
      <w:pPr>
        <w:spacing w:line="360" w:lineRule="auto"/>
        <w:ind w:firstLine="708"/>
        <w:jc w:val="both"/>
      </w:pPr>
      <w:r w:rsidRPr="00330370">
        <w:t>Zgodnie z programem aplikacji sędziowskiej po X</w:t>
      </w:r>
      <w:r w:rsidR="00997425">
        <w:t>V</w:t>
      </w:r>
      <w:r w:rsidRPr="00330370">
        <w:t xml:space="preserve"> zjeździe aplikanci mają odbyć</w:t>
      </w:r>
      <w:r w:rsidR="002B15B3">
        <w:t xml:space="preserve">  </w:t>
      </w:r>
      <w:r w:rsidR="00746720">
        <w:t xml:space="preserve">                </w:t>
      </w:r>
      <w:r w:rsidR="008F7B8A">
        <w:t xml:space="preserve">3 dni </w:t>
      </w:r>
      <w:r w:rsidRPr="00330370">
        <w:t>praktyki w wydziałach</w:t>
      </w:r>
      <w:r w:rsidR="00F87808">
        <w:t xml:space="preserve"> cywilnych zajmujących się sprawami procesowymi </w:t>
      </w:r>
      <w:r w:rsidRPr="00330370">
        <w:t xml:space="preserve">sądów </w:t>
      </w:r>
      <w:r w:rsidR="00F87808">
        <w:t>rejonowych</w:t>
      </w:r>
      <w:r w:rsidRPr="00330370">
        <w:t>.</w:t>
      </w:r>
    </w:p>
    <w:p w:rsidR="006C5695" w:rsidRDefault="000B2D57" w:rsidP="006C5695">
      <w:pPr>
        <w:spacing w:line="360" w:lineRule="auto"/>
        <w:jc w:val="both"/>
      </w:pPr>
      <w:r w:rsidRPr="00330370">
        <w:t xml:space="preserve">            </w:t>
      </w:r>
      <w:r w:rsidR="00F87808">
        <w:t>Z uwagi na zakres tematyczn</w:t>
      </w:r>
      <w:r w:rsidR="00746720">
        <w:t>y X</w:t>
      </w:r>
      <w:r w:rsidR="00997425">
        <w:t>V</w:t>
      </w:r>
      <w:r w:rsidR="00A65EDE">
        <w:t xml:space="preserve"> zjazdu</w:t>
      </w:r>
      <w:r w:rsidR="00587214">
        <w:t xml:space="preserve"> tj. „</w:t>
      </w:r>
      <w:r w:rsidR="00746720">
        <w:t xml:space="preserve">Czynności sądu i sędziego po skutecznym wniesieniu pozwu. </w:t>
      </w:r>
      <w:r w:rsidR="005526B9">
        <w:t>Przygotowanie do rozprawy</w:t>
      </w:r>
      <w:r w:rsidR="00587214">
        <w:t xml:space="preserve">”, </w:t>
      </w:r>
      <w:r w:rsidR="00A65EDE">
        <w:t xml:space="preserve">patron praktyki oraz patron </w:t>
      </w:r>
      <w:r w:rsidR="00A65EDE">
        <w:lastRenderedPageBreak/>
        <w:t xml:space="preserve">koordynator przy pracy z aplikantami powinni szczególną uwagę poświęcić </w:t>
      </w:r>
      <w:r w:rsidR="006C5695" w:rsidRPr="00985ABD">
        <w:t>podstawowym zagadnieniom prawa materialnego, takim jak:</w:t>
      </w:r>
      <w:r w:rsidR="006C5695">
        <w:t xml:space="preserve"> </w:t>
      </w:r>
    </w:p>
    <w:p w:rsidR="000A676D" w:rsidRDefault="000A676D" w:rsidP="000A676D">
      <w:pPr>
        <w:numPr>
          <w:ilvl w:val="0"/>
          <w:numId w:val="25"/>
        </w:numPr>
        <w:spacing w:line="360" w:lineRule="auto"/>
        <w:jc w:val="both"/>
      </w:pPr>
      <w:r>
        <w:t>prawidłowa kwalifikacja umów</w:t>
      </w:r>
      <w:r w:rsidR="008C70DD">
        <w:t>,</w:t>
      </w:r>
      <w:r>
        <w:t xml:space="preserve"> </w:t>
      </w:r>
    </w:p>
    <w:p w:rsidR="000A676D" w:rsidRDefault="000A676D" w:rsidP="000A676D">
      <w:pPr>
        <w:numPr>
          <w:ilvl w:val="0"/>
          <w:numId w:val="25"/>
        </w:numPr>
        <w:spacing w:line="360" w:lineRule="auto"/>
        <w:jc w:val="both"/>
      </w:pPr>
      <w:r>
        <w:t>umowa o dzieło</w:t>
      </w:r>
      <w:r w:rsidR="008C70DD">
        <w:t>,</w:t>
      </w:r>
      <w:r>
        <w:t xml:space="preserve"> </w:t>
      </w:r>
    </w:p>
    <w:p w:rsidR="000A676D" w:rsidRDefault="000A676D" w:rsidP="000A676D">
      <w:pPr>
        <w:numPr>
          <w:ilvl w:val="0"/>
          <w:numId w:val="25"/>
        </w:numPr>
        <w:spacing w:line="360" w:lineRule="auto"/>
        <w:jc w:val="both"/>
      </w:pPr>
      <w:r>
        <w:t>umowa zlecenia</w:t>
      </w:r>
      <w:r w:rsidR="008C70DD">
        <w:t>,</w:t>
      </w:r>
    </w:p>
    <w:p w:rsidR="000A676D" w:rsidRDefault="000A676D" w:rsidP="000A676D">
      <w:pPr>
        <w:numPr>
          <w:ilvl w:val="0"/>
          <w:numId w:val="25"/>
        </w:numPr>
        <w:spacing w:line="360" w:lineRule="auto"/>
        <w:jc w:val="both"/>
      </w:pPr>
      <w:r>
        <w:t>umowa o świadczenie usług</w:t>
      </w:r>
      <w:r w:rsidR="008C70DD">
        <w:t>,</w:t>
      </w:r>
      <w:r>
        <w:t xml:space="preserve"> </w:t>
      </w:r>
    </w:p>
    <w:p w:rsidR="000A676D" w:rsidRDefault="000A676D" w:rsidP="000A676D">
      <w:pPr>
        <w:numPr>
          <w:ilvl w:val="0"/>
          <w:numId w:val="25"/>
        </w:numPr>
        <w:spacing w:line="360" w:lineRule="auto"/>
        <w:jc w:val="both"/>
      </w:pPr>
      <w:r>
        <w:t>wykładnia oświadczeń woli (przedmiot, zakres, cel wykładni, podmiot dokonujący wykładni, etapy i dyrektywy wykładni oświadczeń woli)</w:t>
      </w:r>
      <w:r w:rsidR="008C70DD">
        <w:t>,</w:t>
      </w:r>
    </w:p>
    <w:p w:rsidR="000A676D" w:rsidRDefault="000A676D" w:rsidP="000A676D">
      <w:pPr>
        <w:numPr>
          <w:ilvl w:val="0"/>
          <w:numId w:val="25"/>
        </w:numPr>
        <w:spacing w:line="360" w:lineRule="auto"/>
        <w:jc w:val="both"/>
      </w:pPr>
      <w:r>
        <w:t>rodzaje i zasady odpowiedzialności odszkodowawczej, rodzaje szkody, związek przyczynowy</w:t>
      </w:r>
      <w:r w:rsidR="008C70DD">
        <w:t>,</w:t>
      </w:r>
      <w:r>
        <w:t xml:space="preserve"> </w:t>
      </w:r>
    </w:p>
    <w:p w:rsidR="00746720" w:rsidRDefault="005526B9" w:rsidP="00746720">
      <w:pPr>
        <w:numPr>
          <w:ilvl w:val="0"/>
          <w:numId w:val="25"/>
        </w:numPr>
        <w:spacing w:line="360" w:lineRule="auto"/>
        <w:jc w:val="both"/>
      </w:pPr>
      <w:r>
        <w:t>o</w:t>
      </w:r>
      <w:r w:rsidR="00746720">
        <w:t>dstąpienie od umowy</w:t>
      </w:r>
      <w:r w:rsidR="008C70DD">
        <w:t>,</w:t>
      </w:r>
    </w:p>
    <w:p w:rsidR="00746720" w:rsidRDefault="005526B9" w:rsidP="00746720">
      <w:pPr>
        <w:numPr>
          <w:ilvl w:val="0"/>
          <w:numId w:val="25"/>
        </w:numPr>
        <w:spacing w:line="360" w:lineRule="auto"/>
        <w:jc w:val="both"/>
      </w:pPr>
      <w:r>
        <w:t>k</w:t>
      </w:r>
      <w:r w:rsidR="00746720">
        <w:t>ara umowna</w:t>
      </w:r>
      <w:r w:rsidR="008C70DD">
        <w:t>,</w:t>
      </w:r>
      <w:r w:rsidR="00746720">
        <w:t xml:space="preserve"> </w:t>
      </w:r>
    </w:p>
    <w:p w:rsidR="00746720" w:rsidRDefault="00746720" w:rsidP="00746720">
      <w:pPr>
        <w:numPr>
          <w:ilvl w:val="0"/>
          <w:numId w:val="25"/>
        </w:numPr>
        <w:spacing w:line="360" w:lineRule="auto"/>
        <w:jc w:val="both"/>
      </w:pPr>
      <w:r>
        <w:t>zadatek</w:t>
      </w:r>
      <w:r w:rsidR="008C70DD">
        <w:t>,</w:t>
      </w:r>
    </w:p>
    <w:p w:rsidR="00746720" w:rsidRDefault="005526B9" w:rsidP="00746720">
      <w:pPr>
        <w:numPr>
          <w:ilvl w:val="0"/>
          <w:numId w:val="25"/>
        </w:numPr>
        <w:spacing w:line="360" w:lineRule="auto"/>
        <w:jc w:val="both"/>
      </w:pPr>
      <w:r>
        <w:t>z</w:t>
      </w:r>
      <w:r w:rsidR="00746720">
        <w:t>arzuty materialnoprawne</w:t>
      </w:r>
      <w:r w:rsidR="008C70DD">
        <w:t>,</w:t>
      </w:r>
      <w:r w:rsidR="00746720">
        <w:t xml:space="preserve"> </w:t>
      </w:r>
    </w:p>
    <w:p w:rsidR="00746720" w:rsidRDefault="005526B9" w:rsidP="00746720">
      <w:pPr>
        <w:numPr>
          <w:ilvl w:val="0"/>
          <w:numId w:val="25"/>
        </w:numPr>
        <w:spacing w:line="360" w:lineRule="auto"/>
        <w:jc w:val="both"/>
      </w:pPr>
      <w:r>
        <w:t>p</w:t>
      </w:r>
      <w:r w:rsidR="00746720">
        <w:t>otrącenie (przesłanki, skutki, sposób skutecznego potrącenia wierzytelności)</w:t>
      </w:r>
      <w:r w:rsidR="008C70DD">
        <w:t>,</w:t>
      </w:r>
    </w:p>
    <w:p w:rsidR="00746720" w:rsidRDefault="00746720" w:rsidP="00746720">
      <w:pPr>
        <w:numPr>
          <w:ilvl w:val="0"/>
          <w:numId w:val="25"/>
        </w:numPr>
        <w:spacing w:line="360" w:lineRule="auto"/>
        <w:jc w:val="both"/>
      </w:pPr>
      <w:r>
        <w:t>warunek, termin (rodzaje, sposób liczenia, dni wolne i soboty)</w:t>
      </w:r>
      <w:r w:rsidR="008C70DD">
        <w:t>,</w:t>
      </w:r>
      <w:r>
        <w:t xml:space="preserve"> </w:t>
      </w:r>
    </w:p>
    <w:p w:rsidR="00746720" w:rsidRDefault="005526B9" w:rsidP="00746720">
      <w:pPr>
        <w:numPr>
          <w:ilvl w:val="0"/>
          <w:numId w:val="25"/>
        </w:numPr>
        <w:spacing w:line="360" w:lineRule="auto"/>
        <w:jc w:val="both"/>
      </w:pPr>
      <w:r>
        <w:t>p</w:t>
      </w:r>
      <w:r w:rsidR="003B67DA">
        <w:t>ojęcie</w:t>
      </w:r>
      <w:r w:rsidR="00746720">
        <w:t xml:space="preserve"> zdarzeń prawny</w:t>
      </w:r>
      <w:r w:rsidR="000A676D">
        <w:t>ch</w:t>
      </w:r>
      <w:r w:rsidR="00746720">
        <w:t xml:space="preserve">, </w:t>
      </w:r>
      <w:r w:rsidR="001D0FA1">
        <w:t>w szczególności zobowiązania i ich rodzaje</w:t>
      </w:r>
      <w:r w:rsidR="008C70DD">
        <w:t>,</w:t>
      </w:r>
    </w:p>
    <w:p w:rsidR="00746720" w:rsidRDefault="005526B9" w:rsidP="00746720">
      <w:pPr>
        <w:numPr>
          <w:ilvl w:val="0"/>
          <w:numId w:val="25"/>
        </w:numPr>
        <w:spacing w:line="360" w:lineRule="auto"/>
        <w:jc w:val="both"/>
      </w:pPr>
      <w:r>
        <w:t>p</w:t>
      </w:r>
      <w:r w:rsidR="00746720">
        <w:t>ojęcie</w:t>
      </w:r>
      <w:r w:rsidR="000A676D">
        <w:t xml:space="preserve"> mienia</w:t>
      </w:r>
      <w:r w:rsidR="00746720">
        <w:t xml:space="preserve">: ruchomości, nieruchomości, części </w:t>
      </w:r>
      <w:r w:rsidR="003B67DA">
        <w:t>składowe, przynależności</w:t>
      </w:r>
      <w:r w:rsidR="008C70DD">
        <w:t>,</w:t>
      </w:r>
    </w:p>
    <w:p w:rsidR="00746720" w:rsidRDefault="005526B9" w:rsidP="00746720">
      <w:pPr>
        <w:numPr>
          <w:ilvl w:val="0"/>
          <w:numId w:val="25"/>
        </w:numPr>
        <w:spacing w:line="360" w:lineRule="auto"/>
        <w:jc w:val="both"/>
      </w:pPr>
      <w:r>
        <w:t>p</w:t>
      </w:r>
      <w:r w:rsidR="00746720">
        <w:t xml:space="preserve">ojęcie masy majątkowej: przedsiębiorstwo i </w:t>
      </w:r>
      <w:r w:rsidR="003B67DA">
        <w:t>przedsiębiorca</w:t>
      </w:r>
      <w:r w:rsidR="00746720">
        <w:t>, gospodarstwo rolne</w:t>
      </w:r>
      <w:r w:rsidR="008C70DD">
        <w:t>.</w:t>
      </w:r>
    </w:p>
    <w:p w:rsidR="00746720" w:rsidRDefault="00746720" w:rsidP="00637E3D">
      <w:pPr>
        <w:spacing w:line="360" w:lineRule="auto"/>
        <w:ind w:left="720"/>
        <w:jc w:val="both"/>
      </w:pPr>
    </w:p>
    <w:p w:rsidR="00087C9C" w:rsidRDefault="00087C9C" w:rsidP="00637E3D">
      <w:pPr>
        <w:spacing w:line="360" w:lineRule="auto"/>
        <w:ind w:left="720"/>
        <w:jc w:val="both"/>
      </w:pPr>
      <w:r>
        <w:t xml:space="preserve">    </w:t>
      </w:r>
      <w:r w:rsidRPr="001C1DB3">
        <w:t xml:space="preserve">Nadto patron </w:t>
      </w:r>
      <w:r>
        <w:t xml:space="preserve">praktyki powinien </w:t>
      </w:r>
      <w:r w:rsidRPr="001C1DB3">
        <w:t xml:space="preserve">przy pracy z aplikantami poświęcić uwagę  </w:t>
      </w:r>
      <w:r w:rsidRPr="002E4009">
        <w:t xml:space="preserve">zagadnieniom prawa procesowego, </w:t>
      </w:r>
      <w:r w:rsidR="00F87808">
        <w:t>takim jak:</w:t>
      </w:r>
      <w:r>
        <w:t xml:space="preserve"> </w:t>
      </w:r>
    </w:p>
    <w:p w:rsidR="0017060C" w:rsidRDefault="0017060C" w:rsidP="000A676D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organizacja postępowania – posiedzenie przygotowawcze i plan rozprawy</w:t>
      </w:r>
      <w:r w:rsidR="003A52BF">
        <w:t xml:space="preserve"> – art. 205 /1/ i nast. kpc, </w:t>
      </w:r>
      <w:r>
        <w:t xml:space="preserve"> </w:t>
      </w:r>
    </w:p>
    <w:p w:rsidR="000A676D" w:rsidRDefault="000A676D" w:rsidP="000A676D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wydawanie zarządzeń na podstawie art. 20</w:t>
      </w:r>
      <w:r w:rsidR="0017060C">
        <w:t>8</w:t>
      </w:r>
      <w:r>
        <w:t xml:space="preserve"> k.p.c.</w:t>
      </w:r>
      <w:r w:rsidR="008C70DD">
        <w:t>,</w:t>
      </w:r>
      <w:r>
        <w:t xml:space="preserve"> </w:t>
      </w:r>
    </w:p>
    <w:p w:rsidR="003B67DA" w:rsidRDefault="005526B9" w:rsidP="00774415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o</w:t>
      </w:r>
      <w:r w:rsidR="003B67DA">
        <w:t xml:space="preserve">dpowiedź na pozew – charakter </w:t>
      </w:r>
      <w:r>
        <w:t>procesowy pis</w:t>
      </w:r>
      <w:r w:rsidR="003B67DA">
        <w:t xml:space="preserve">m, </w:t>
      </w:r>
      <w:r>
        <w:t>przesłanki</w:t>
      </w:r>
      <w:r w:rsidR="003B67DA">
        <w:t xml:space="preserve"> </w:t>
      </w:r>
      <w:r>
        <w:t>dopuszczalności</w:t>
      </w:r>
      <w:r w:rsidR="003B67DA">
        <w:t xml:space="preserve"> złożenia odpowiedzi na pozew, obowiązkowa </w:t>
      </w:r>
      <w:r>
        <w:t>odpowiedź</w:t>
      </w:r>
      <w:r w:rsidR="003B67DA">
        <w:t xml:space="preserve"> na </w:t>
      </w:r>
      <w:r>
        <w:t>pozew</w:t>
      </w:r>
      <w:r w:rsidR="003B67DA">
        <w:t xml:space="preserve">, termin złożenia odpowiedzi na pozew,  </w:t>
      </w:r>
    </w:p>
    <w:p w:rsidR="003B67DA" w:rsidRDefault="005526B9" w:rsidP="00774415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</w:t>
      </w:r>
      <w:r w:rsidR="003B67DA">
        <w:t xml:space="preserve">ominięcie spóźnionych twierdzeń i dowodów, </w:t>
      </w:r>
    </w:p>
    <w:p w:rsidR="003B67DA" w:rsidRDefault="005526B9" w:rsidP="00774415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w</w:t>
      </w:r>
      <w:r w:rsidR="003B67DA">
        <w:t xml:space="preserve">ydawanie zarządzeń dowodowych przed wyznaczeniem rozprawy, </w:t>
      </w:r>
    </w:p>
    <w:p w:rsidR="003B67DA" w:rsidRDefault="005526B9" w:rsidP="00774415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z</w:t>
      </w:r>
      <w:r w:rsidR="003B67DA">
        <w:t>arzuty procesowe,</w:t>
      </w:r>
      <w:r>
        <w:t xml:space="preserve"> </w:t>
      </w:r>
      <w:r w:rsidR="003B67DA">
        <w:t xml:space="preserve">w tym zarzut </w:t>
      </w:r>
      <w:r w:rsidR="000A676D">
        <w:t>potrą</w:t>
      </w:r>
      <w:r>
        <w:t>cenia</w:t>
      </w:r>
      <w:r w:rsidR="003B67DA">
        <w:t>, przesłanki, skutki</w:t>
      </w:r>
      <w:r>
        <w:t xml:space="preserve">, </w:t>
      </w:r>
      <w:r w:rsidR="003B67DA">
        <w:t>sposób skutecznego podniesienia zarzutu potrącenia</w:t>
      </w:r>
      <w:r>
        <w:t>,</w:t>
      </w:r>
    </w:p>
    <w:p w:rsidR="003B67DA" w:rsidRDefault="005526B9" w:rsidP="00774415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lastRenderedPageBreak/>
        <w:t>u</w:t>
      </w:r>
      <w:r w:rsidR="003B67DA">
        <w:t>znanie powództwa, forma, skutki</w:t>
      </w:r>
      <w:r>
        <w:t>,</w:t>
      </w:r>
    </w:p>
    <w:p w:rsidR="003B67DA" w:rsidRDefault="005526B9" w:rsidP="00774415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c</w:t>
      </w:r>
      <w:r w:rsidR="000A676D">
        <w:t>ofnię</w:t>
      </w:r>
      <w:r w:rsidR="003B67DA">
        <w:t xml:space="preserve">cie </w:t>
      </w:r>
      <w:r>
        <w:t>pozwu</w:t>
      </w:r>
      <w:r w:rsidR="003B67DA">
        <w:t>, zrzeczenie się roszczenia</w:t>
      </w:r>
      <w:r>
        <w:t>,</w:t>
      </w:r>
      <w:r w:rsidR="003B67DA">
        <w:t xml:space="preserve"> </w:t>
      </w:r>
    </w:p>
    <w:p w:rsidR="003B67DA" w:rsidRDefault="005526B9" w:rsidP="00774415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z</w:t>
      </w:r>
      <w:r w:rsidR="003B67DA">
        <w:t>awieszenie postępowania</w:t>
      </w:r>
      <w:r w:rsidR="000A676D">
        <w:t xml:space="preserve"> z różnych przyczyn</w:t>
      </w:r>
      <w:r>
        <w:t>,</w:t>
      </w:r>
      <w:r w:rsidR="003B67DA">
        <w:t xml:space="preserve"> </w:t>
      </w:r>
    </w:p>
    <w:p w:rsidR="003B67DA" w:rsidRDefault="005526B9" w:rsidP="00774415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p</w:t>
      </w:r>
      <w:r w:rsidR="003B67DA">
        <w:t xml:space="preserve">owództwo wzajemne, termin, </w:t>
      </w:r>
      <w:r>
        <w:t>przesłanki</w:t>
      </w:r>
      <w:r w:rsidR="003B67DA">
        <w:t>, skuteczność, modyfikacje w postępowaniach odrębnych</w:t>
      </w:r>
      <w:r>
        <w:t>,</w:t>
      </w:r>
      <w:r w:rsidR="003B67DA">
        <w:t xml:space="preserve"> </w:t>
      </w:r>
    </w:p>
    <w:p w:rsidR="00637E3D" w:rsidRDefault="005526B9" w:rsidP="00774415">
      <w:pPr>
        <w:numPr>
          <w:ilvl w:val="0"/>
          <w:numId w:val="22"/>
        </w:numPr>
        <w:spacing w:line="360" w:lineRule="auto"/>
        <w:ind w:left="714" w:hanging="357"/>
        <w:jc w:val="both"/>
      </w:pPr>
      <w:r>
        <w:t>doręczanie pism są</w:t>
      </w:r>
      <w:r w:rsidR="003B67DA">
        <w:t xml:space="preserve">dowych </w:t>
      </w:r>
      <w:r w:rsidR="001D0FA1">
        <w:t>w obrocie międzynarodowym (w ram</w:t>
      </w:r>
      <w:r w:rsidR="003B67DA">
        <w:t>ach UE i poza UE), odezwy dotyczące doręczeń zagranicznych</w:t>
      </w:r>
      <w:r w:rsidR="008C70DD">
        <w:t>.</w:t>
      </w:r>
    </w:p>
    <w:p w:rsidR="00112C3A" w:rsidRDefault="00112C3A" w:rsidP="00087C9C">
      <w:pPr>
        <w:spacing w:line="360" w:lineRule="auto"/>
        <w:jc w:val="both"/>
      </w:pPr>
    </w:p>
    <w:p w:rsidR="005A6CC6" w:rsidRDefault="00087C9C" w:rsidP="00087C9C">
      <w:pPr>
        <w:spacing w:line="360" w:lineRule="auto"/>
        <w:jc w:val="both"/>
      </w:pPr>
      <w:r>
        <w:t xml:space="preserve">       </w:t>
      </w:r>
      <w:r w:rsidR="002B15B3">
        <w:t>W trakcie praktyki n</w:t>
      </w:r>
      <w:r>
        <w:t>ależy zapoznać aplikantów z</w:t>
      </w:r>
      <w:r w:rsidR="00A95408">
        <w:t>e sprawami</w:t>
      </w:r>
      <w:r w:rsidR="003B67DA">
        <w:t>, w których roszczenia wynikają z umów zobowiązujących</w:t>
      </w:r>
      <w:r w:rsidR="000A676D">
        <w:t>,</w:t>
      </w:r>
      <w:r w:rsidR="003B67DA">
        <w:t xml:space="preserve"> ze szczególnym uwzględnieniem umów o dzieło, umów zlecenia, umów o</w:t>
      </w:r>
      <w:r w:rsidR="001F595C">
        <w:t xml:space="preserve"> </w:t>
      </w:r>
      <w:r w:rsidR="003B67DA">
        <w:t>świadczenie usług i odróżnienia tych umów od innych rodzajów umów zobowiązujących.</w:t>
      </w:r>
      <w:r w:rsidR="005A6CC6">
        <w:t xml:space="preserve"> W zakresie wyżej wymienionych </w:t>
      </w:r>
      <w:r w:rsidR="000A676D">
        <w:t xml:space="preserve">kategorii </w:t>
      </w:r>
      <w:r w:rsidR="005A6CC6">
        <w:t xml:space="preserve">spraw należy zapoznać aplikantów z przesłankami odpowiedzialności odszkodowawczej, </w:t>
      </w:r>
      <w:r w:rsidR="003B67DA">
        <w:t>w tym odpowiedz</w:t>
      </w:r>
      <w:r w:rsidR="001F595C">
        <w:t>ialności w oparciu o zastrzeżoną</w:t>
      </w:r>
      <w:r w:rsidR="003B67DA">
        <w:t xml:space="preserve"> karę umowną, </w:t>
      </w:r>
      <w:r w:rsidR="005A6CC6">
        <w:t xml:space="preserve">praktycznym zastosowaniem zasad ustalania wysokości szkody, miarkowania kary umownej, oceną roszczeń opartych na zastrzeżeniu zadatku, </w:t>
      </w:r>
      <w:r w:rsidR="001F595C">
        <w:t>skutecznością</w:t>
      </w:r>
      <w:r w:rsidR="005A6CC6">
        <w:t xml:space="preserve"> zastrzeżenia zadatku, oceną dopuszczalności, przesłankami oraz prawidłowością odstąpienia od umowy, oceną skuteczności dokonania potrącenia, praktycznym zastosowaniem metod i dyrektyw wykładni oświadczeń woli.</w:t>
      </w:r>
    </w:p>
    <w:p w:rsidR="005A6CC6" w:rsidRDefault="005A6CC6" w:rsidP="00087C9C">
      <w:pPr>
        <w:spacing w:line="360" w:lineRule="auto"/>
        <w:jc w:val="both"/>
      </w:pPr>
      <w:r>
        <w:t xml:space="preserve">    W zakresie zagadnień procesowych </w:t>
      </w:r>
      <w:r w:rsidR="001F595C">
        <w:t>a</w:t>
      </w:r>
      <w:r w:rsidR="009F0316">
        <w:t xml:space="preserve">plikanci w </w:t>
      </w:r>
      <w:r w:rsidR="008E45A4">
        <w:t>trakcie</w:t>
      </w:r>
      <w:r w:rsidR="009F0316">
        <w:t xml:space="preserve"> </w:t>
      </w:r>
      <w:r w:rsidR="008E45A4">
        <w:t>praktyki</w:t>
      </w:r>
      <w:r w:rsidR="009F0316">
        <w:t xml:space="preserve"> powinni </w:t>
      </w:r>
      <w:r w:rsidR="001F595C">
        <w:t xml:space="preserve">być </w:t>
      </w:r>
      <w:r w:rsidR="008E45A4">
        <w:t>przede</w:t>
      </w:r>
      <w:r w:rsidR="009F0316">
        <w:t xml:space="preserve"> </w:t>
      </w:r>
      <w:r w:rsidR="008E45A4">
        <w:t>wszystkim</w:t>
      </w:r>
      <w:r w:rsidR="001F595C">
        <w:t xml:space="preserve"> a</w:t>
      </w:r>
      <w:r w:rsidR="009F0316">
        <w:t xml:space="preserve">ngażowani w czynności </w:t>
      </w:r>
      <w:r w:rsidR="000A676D">
        <w:t xml:space="preserve">przewodniczącego (sędziego referenta) zmierzające do </w:t>
      </w:r>
      <w:r>
        <w:t xml:space="preserve">właściwego przygotowania </w:t>
      </w:r>
      <w:r w:rsidR="0017060C">
        <w:t xml:space="preserve">posiedzenia przygotowawczego, planu </w:t>
      </w:r>
      <w:r>
        <w:t>rozprawy</w:t>
      </w:r>
      <w:r w:rsidR="0017060C">
        <w:t xml:space="preserve"> oraz samej rozprawy </w:t>
      </w:r>
      <w:r>
        <w:t>poprzez wydanie prawidłowych zarządzeń</w:t>
      </w:r>
      <w:r w:rsidR="000A676D">
        <w:t xml:space="preserve"> mających na celu </w:t>
      </w:r>
      <w:r>
        <w:t>wyłożenia przez strony swoich twierdzeń, zgłoszenia wniosków dowodowych</w:t>
      </w:r>
      <w:r w:rsidR="001F595C">
        <w:t>, właściwej</w:t>
      </w:r>
      <w:r>
        <w:t xml:space="preserve"> kumulacji materiału dowodowego ze szczególnym naciskiem na formułowanie zarządzeń w tym przedmiocie. Nadto należy angażować aplikantów w</w:t>
      </w:r>
      <w:r w:rsidR="000A676D">
        <w:t xml:space="preserve"> czynności, których celem jest</w:t>
      </w:r>
      <w:r>
        <w:t xml:space="preserve"> </w:t>
      </w:r>
      <w:r w:rsidR="000A676D">
        <w:t>ocena</w:t>
      </w:r>
      <w:r>
        <w:t xml:space="preserve"> twierdzeń i wniosków dowodowych </w:t>
      </w:r>
      <w:r w:rsidR="00426C18">
        <w:t xml:space="preserve">stron </w:t>
      </w:r>
      <w:r>
        <w:t xml:space="preserve">z punktu widzenia przepisów </w:t>
      </w:r>
      <w:r w:rsidR="00426C18">
        <w:t>regulujących termin ich zgłaszania</w:t>
      </w:r>
      <w:r w:rsidR="000A676D">
        <w:t>, ocena</w:t>
      </w:r>
      <w:r w:rsidR="00426C18">
        <w:t xml:space="preserve"> prawidłowego kwalifikowania </w:t>
      </w:r>
      <w:r w:rsidR="001F595C">
        <w:t>zarzutów</w:t>
      </w:r>
      <w:r w:rsidR="00426C18">
        <w:t xml:space="preserve"> procesowych, ze szczególnym </w:t>
      </w:r>
      <w:r w:rsidR="001F595C">
        <w:t>uwzględnieniem</w:t>
      </w:r>
      <w:r w:rsidR="00426C18">
        <w:t xml:space="preserve"> zarzutu potrącenia, prawidłowego nadania </w:t>
      </w:r>
      <w:r w:rsidR="001F595C">
        <w:t>sprawie</w:t>
      </w:r>
      <w:r w:rsidR="00426C18">
        <w:t xml:space="preserve"> biegu w związku z zarzutami. Aplikanci </w:t>
      </w:r>
      <w:r>
        <w:t xml:space="preserve"> </w:t>
      </w:r>
      <w:r w:rsidR="00AF61FA">
        <w:t xml:space="preserve">winni nauczyć się </w:t>
      </w:r>
      <w:r w:rsidR="00426C18">
        <w:t xml:space="preserve">formułowania zarządzeń dowodowych </w:t>
      </w:r>
      <w:r w:rsidR="001F595C">
        <w:t>wydawanych</w:t>
      </w:r>
      <w:r w:rsidR="00426C18">
        <w:t xml:space="preserve"> przez </w:t>
      </w:r>
      <w:r w:rsidR="001F595C">
        <w:t xml:space="preserve">przewodniczącego </w:t>
      </w:r>
      <w:r w:rsidR="00426C18">
        <w:t xml:space="preserve">przed wyznaczeniem </w:t>
      </w:r>
      <w:r w:rsidR="001F595C">
        <w:t>rozprawy</w:t>
      </w:r>
      <w:r w:rsidR="00426C18">
        <w:t xml:space="preserve">. Należy również zapoznawać aplikantów z aktami spraw, w których doszło do cofnięcia pozwu i aplikanci winni oceniać skuteczność </w:t>
      </w:r>
      <w:r w:rsidR="001F595C">
        <w:t>cofnięcia</w:t>
      </w:r>
      <w:r w:rsidR="00426C18">
        <w:t xml:space="preserve"> </w:t>
      </w:r>
      <w:r w:rsidR="001F595C">
        <w:t>pozwu</w:t>
      </w:r>
      <w:r w:rsidR="00426C18">
        <w:t xml:space="preserve"> oraz winni </w:t>
      </w:r>
      <w:r w:rsidR="001F595C">
        <w:t>przygotowywać</w:t>
      </w:r>
      <w:r w:rsidR="00426C18">
        <w:t xml:space="preserve"> projekty </w:t>
      </w:r>
      <w:r w:rsidR="001F595C">
        <w:t>postanowień</w:t>
      </w:r>
      <w:r w:rsidR="00426C18">
        <w:t xml:space="preserve"> lub zarządzeń w</w:t>
      </w:r>
      <w:r w:rsidR="001F595C">
        <w:t xml:space="preserve"> związku</w:t>
      </w:r>
      <w:r w:rsidR="00426C18">
        <w:t xml:space="preserve"> z </w:t>
      </w:r>
      <w:r w:rsidR="001F595C">
        <w:t>cofnięciem</w:t>
      </w:r>
      <w:r w:rsidR="00426C18">
        <w:t xml:space="preserve"> pozwu. Dodatkowo należy zlecać aplikantom czynności w </w:t>
      </w:r>
      <w:r w:rsidR="001F595C">
        <w:t>sprawach</w:t>
      </w:r>
      <w:r w:rsidR="00426C18">
        <w:t xml:space="preserve">, </w:t>
      </w:r>
      <w:r w:rsidR="00426C18">
        <w:lastRenderedPageBreak/>
        <w:t xml:space="preserve">w których doszło do uznania powództwa i w tym zakresie aplikanci winni dokonywać </w:t>
      </w:r>
      <w:r w:rsidR="001D0FA1">
        <w:t xml:space="preserve">oceny </w:t>
      </w:r>
      <w:r w:rsidR="00426C18">
        <w:t xml:space="preserve">skuteczności tego </w:t>
      </w:r>
      <w:r w:rsidR="001F595C">
        <w:t>uznania</w:t>
      </w:r>
      <w:r w:rsidR="00426C18">
        <w:t xml:space="preserve"> oraz </w:t>
      </w:r>
      <w:r w:rsidR="001F595C">
        <w:t>przygotowywać</w:t>
      </w:r>
      <w:r w:rsidR="00426C18">
        <w:t xml:space="preserve"> projekty </w:t>
      </w:r>
      <w:r w:rsidR="001F595C">
        <w:t>orzeczeń</w:t>
      </w:r>
      <w:r w:rsidR="00426C18">
        <w:t xml:space="preserve"> i zarządzeń z tym </w:t>
      </w:r>
      <w:r w:rsidR="001F595C">
        <w:t>związanych</w:t>
      </w:r>
      <w:r w:rsidR="00426C18">
        <w:t xml:space="preserve">. </w:t>
      </w:r>
    </w:p>
    <w:p w:rsidR="00426C18" w:rsidRDefault="00426C18" w:rsidP="00087C9C">
      <w:pPr>
        <w:spacing w:line="360" w:lineRule="auto"/>
        <w:jc w:val="both"/>
      </w:pPr>
      <w:r>
        <w:t xml:space="preserve">   Niezbędnym jest również zlecanie </w:t>
      </w:r>
      <w:r w:rsidR="00E46164">
        <w:t>aplikantom</w:t>
      </w:r>
      <w:r>
        <w:t xml:space="preserve"> czynności w </w:t>
      </w:r>
      <w:r w:rsidR="00E46164">
        <w:t>sprawach</w:t>
      </w:r>
      <w:r>
        <w:t xml:space="preserve">, w których zachodzi </w:t>
      </w:r>
      <w:r w:rsidR="00E46164">
        <w:t>konieczność</w:t>
      </w:r>
      <w:r>
        <w:t xml:space="preserve"> doręczania </w:t>
      </w:r>
      <w:r w:rsidR="00E46164">
        <w:t>pism są</w:t>
      </w:r>
      <w:r>
        <w:t>dowych i procesowych  obrocie międzynarodowym (zarówno w ramach UE, jak i poza UE)</w:t>
      </w:r>
      <w:r w:rsidR="005526B9">
        <w:t xml:space="preserve"> i aplikanci w trakcie praktyk</w:t>
      </w:r>
      <w:r>
        <w:t xml:space="preserve"> winni </w:t>
      </w:r>
      <w:r w:rsidR="005526B9">
        <w:t>przygotować</w:t>
      </w:r>
      <w:r>
        <w:t xml:space="preserve"> odezwy</w:t>
      </w:r>
      <w:r w:rsidR="005526B9">
        <w:t xml:space="preserve"> dotyczące</w:t>
      </w:r>
      <w:r>
        <w:t xml:space="preserve"> doręczeń zagranicznych, aby zapoz</w:t>
      </w:r>
      <w:r w:rsidR="00E46164">
        <w:t>nać się z ró</w:t>
      </w:r>
      <w:r>
        <w:t xml:space="preserve">żnymi narzędziami ułatwiającymi </w:t>
      </w:r>
      <w:r w:rsidR="005526B9">
        <w:t>wykonywania</w:t>
      </w:r>
      <w:r>
        <w:t xml:space="preserve"> obrotu zagranicznego w zakresie doręczeń. </w:t>
      </w:r>
    </w:p>
    <w:p w:rsidR="009F0316" w:rsidRDefault="00426C18" w:rsidP="00087C9C">
      <w:pPr>
        <w:spacing w:line="360" w:lineRule="auto"/>
        <w:jc w:val="both"/>
      </w:pPr>
      <w:r>
        <w:t xml:space="preserve">       </w:t>
      </w:r>
      <w:r w:rsidR="008E45A4">
        <w:t>Patron</w:t>
      </w:r>
      <w:r w:rsidR="005526B9">
        <w:t xml:space="preserve"> praktyki powinien</w:t>
      </w:r>
      <w:r>
        <w:t xml:space="preserve"> </w:t>
      </w:r>
      <w:r w:rsidR="009F0316">
        <w:t xml:space="preserve">dołożyć szczególnych starań, aby nauczyć aplikantów </w:t>
      </w:r>
      <w:r w:rsidR="005526B9">
        <w:t xml:space="preserve">umiejętności prawidłowego formułowania </w:t>
      </w:r>
      <w:r>
        <w:t>zarządzeń na podstawie art.</w:t>
      </w:r>
      <w:r w:rsidR="003A52BF">
        <w:t xml:space="preserve"> </w:t>
      </w:r>
      <w:r>
        <w:t>20</w:t>
      </w:r>
      <w:r w:rsidR="0088190F">
        <w:t>8</w:t>
      </w:r>
      <w:r>
        <w:t xml:space="preserve"> k.p.c. oraz innych zarządzeń dowodowych przed wyznaczeniem rozprawy</w:t>
      </w:r>
      <w:r w:rsidR="005526B9">
        <w:t>, w tym rozpatrywania</w:t>
      </w:r>
      <w:r>
        <w:t xml:space="preserve"> </w:t>
      </w:r>
      <w:r w:rsidR="005526B9">
        <w:t>zarzutów</w:t>
      </w:r>
      <w:r>
        <w:t xml:space="preserve"> procesowych i </w:t>
      </w:r>
      <w:r w:rsidR="005526B9">
        <w:t xml:space="preserve">zarzutów materialnych dotyczących umów oraz innych zagadnień z zakresu zobowiązań, w tym odsetek, </w:t>
      </w:r>
      <w:r w:rsidR="00E46164">
        <w:t>przedawnienia</w:t>
      </w:r>
      <w:r w:rsidR="005526B9">
        <w:t xml:space="preserve">, </w:t>
      </w:r>
      <w:r w:rsidR="00E46164">
        <w:t>b</w:t>
      </w:r>
      <w:r w:rsidR="005526B9">
        <w:t>raku legitymacji procesowej i potrącenia.</w:t>
      </w:r>
      <w:r w:rsidR="006F2B50">
        <w:t xml:space="preserve">   </w:t>
      </w:r>
    </w:p>
    <w:p w:rsidR="00996F96" w:rsidRDefault="00996F96" w:rsidP="00996F96">
      <w:pPr>
        <w:spacing w:line="360" w:lineRule="auto"/>
        <w:ind w:firstLine="708"/>
        <w:jc w:val="both"/>
      </w:pPr>
      <w:r w:rsidRPr="00A43F4F">
        <w:t xml:space="preserve">W związku z powyższym zaleca się, aby aplikanci </w:t>
      </w:r>
      <w:r>
        <w:t xml:space="preserve">w trakcie praktyki </w:t>
      </w:r>
      <w:r w:rsidRPr="00A43F4F">
        <w:t xml:space="preserve">zapoznawali się z konkretnymi sprawami </w:t>
      </w:r>
      <w:r w:rsidR="00171186">
        <w:t>z </w:t>
      </w:r>
      <w:r>
        <w:t>wyżej wymienionego zakresu i aby</w:t>
      </w:r>
      <w:r w:rsidRPr="003A2CF6">
        <w:t xml:space="preserve"> </w:t>
      </w:r>
      <w:r>
        <w:t>powierzano im</w:t>
      </w:r>
      <w:r w:rsidRPr="00A43F4F">
        <w:t xml:space="preserve"> jak największ</w:t>
      </w:r>
      <w:r>
        <w:t>ą</w:t>
      </w:r>
      <w:r w:rsidRPr="00A43F4F">
        <w:t xml:space="preserve"> liczb</w:t>
      </w:r>
      <w:r>
        <w:t>ę</w:t>
      </w:r>
      <w:r w:rsidRPr="00A43F4F">
        <w:t xml:space="preserve"> </w:t>
      </w:r>
      <w:r>
        <w:t xml:space="preserve">czynności, </w:t>
      </w:r>
      <w:r w:rsidRPr="00675573">
        <w:t xml:space="preserve">które utrwalą zdobytą </w:t>
      </w:r>
      <w:r>
        <w:t xml:space="preserve">przez nich </w:t>
      </w:r>
      <w:r w:rsidRPr="00675573">
        <w:t xml:space="preserve">wiedzę i umiejętności praktyczne, </w:t>
      </w:r>
      <w:r>
        <w:t xml:space="preserve">a </w:t>
      </w:r>
      <w:r w:rsidRPr="00675573">
        <w:t>w szczególności</w:t>
      </w:r>
      <w:r>
        <w:t xml:space="preserve">, aby brali czynny udział </w:t>
      </w:r>
      <w:r w:rsidRPr="00A43F4F">
        <w:t>w </w:t>
      </w:r>
      <w:r>
        <w:t xml:space="preserve">przygotowywaniu projektów </w:t>
      </w:r>
      <w:r w:rsidR="009F0316">
        <w:t xml:space="preserve">zarządzeń i </w:t>
      </w:r>
      <w:r>
        <w:t>orzec</w:t>
      </w:r>
      <w:r w:rsidR="005F2277">
        <w:t>zeń sądu w/w</w:t>
      </w:r>
      <w:r>
        <w:t xml:space="preserve"> dziedzinach</w:t>
      </w:r>
      <w:r w:rsidRPr="00675573">
        <w:t xml:space="preserve"> wraz z uzasadnieniami</w:t>
      </w:r>
      <w:r>
        <w:t>.</w:t>
      </w:r>
    </w:p>
    <w:p w:rsidR="001854B4" w:rsidRPr="00DE09DA" w:rsidRDefault="001854B4" w:rsidP="001854B4">
      <w:pPr>
        <w:spacing w:line="360" w:lineRule="auto"/>
        <w:ind w:firstLine="708"/>
        <w:jc w:val="both"/>
      </w:pPr>
    </w:p>
    <w:p w:rsidR="006C09B0" w:rsidRDefault="001854B4" w:rsidP="001854B4">
      <w:pPr>
        <w:spacing w:line="360" w:lineRule="auto"/>
        <w:jc w:val="both"/>
      </w:pPr>
      <w:r>
        <w:tab/>
      </w:r>
    </w:p>
    <w:p w:rsidR="006C09B0" w:rsidRPr="001469B6" w:rsidRDefault="00613065" w:rsidP="00613065">
      <w:pPr>
        <w:spacing w:after="100" w:afterAutospacing="1"/>
        <w:ind w:left="3540" w:firstLine="708"/>
        <w:contextualSpacing/>
      </w:pPr>
      <w:r>
        <w:t>Kierownik Działu Dydaktycznego OAS</w:t>
      </w:r>
    </w:p>
    <w:p w:rsidR="006C09B0" w:rsidRPr="001469B6" w:rsidRDefault="006C09B0" w:rsidP="006C09B0">
      <w:pPr>
        <w:spacing w:after="100" w:afterAutospacing="1"/>
        <w:ind w:left="3538"/>
        <w:contextualSpacing/>
        <w:jc w:val="center"/>
      </w:pPr>
      <w:r w:rsidRPr="001469B6">
        <w:t>dr Agnieszka Pilch</w:t>
      </w:r>
    </w:p>
    <w:p w:rsidR="006C09B0" w:rsidRPr="001469B6" w:rsidRDefault="006C09B0" w:rsidP="006C09B0">
      <w:pPr>
        <w:spacing w:after="100" w:afterAutospacing="1"/>
        <w:ind w:left="3540"/>
        <w:contextualSpacing/>
        <w:jc w:val="center"/>
      </w:pPr>
      <w:r w:rsidRPr="001469B6">
        <w:t>sędzia</w:t>
      </w:r>
    </w:p>
    <w:p w:rsidR="001854B4" w:rsidRDefault="001854B4" w:rsidP="001854B4">
      <w:pPr>
        <w:spacing w:line="360" w:lineRule="auto"/>
        <w:jc w:val="both"/>
      </w:pPr>
      <w:r>
        <w:t xml:space="preserve"> </w:t>
      </w:r>
    </w:p>
    <w:sectPr w:rsidR="001854B4" w:rsidSect="00FF6DF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851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B3" w:rsidRDefault="004649B3">
      <w:r>
        <w:separator/>
      </w:r>
    </w:p>
  </w:endnote>
  <w:endnote w:type="continuationSeparator" w:id="0">
    <w:p w:rsidR="004649B3" w:rsidRDefault="0046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2C3D7F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F7557">
      <w:rPr>
        <w:noProof/>
      </w:rPr>
      <w:t>4</w:t>
    </w:r>
    <w:r>
      <w:rPr>
        <w:noProof/>
      </w:rPr>
      <w:fldChar w:fldCharType="end"/>
    </w:r>
  </w:p>
  <w:p w:rsidR="003E0943" w:rsidRDefault="003E09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3E0943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3E0943" w:rsidRPr="0074505E" w:rsidRDefault="003E0943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3E0943" w:rsidRPr="00A944C8" w:rsidRDefault="003E0943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3E0943" w:rsidRPr="00A944C8" w:rsidRDefault="003E0943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3E0943" w:rsidRDefault="003E0943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B3" w:rsidRDefault="004649B3">
      <w:r>
        <w:separator/>
      </w:r>
    </w:p>
  </w:footnote>
  <w:footnote w:type="continuationSeparator" w:id="0">
    <w:p w:rsidR="004649B3" w:rsidRDefault="0046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Pr="009B38B3" w:rsidRDefault="003E0943" w:rsidP="00EE0317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EF7557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943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3E0943" w:rsidRDefault="003E0943" w:rsidP="00EE0317">
    <w:pPr>
      <w:pStyle w:val="Nagwek"/>
      <w:ind w:right="4959"/>
      <w:jc w:val="center"/>
      <w:rPr>
        <w:b/>
      </w:rPr>
    </w:pPr>
  </w:p>
  <w:p w:rsidR="003E0943" w:rsidRPr="009E7ADE" w:rsidRDefault="003E0943" w:rsidP="00EE0317">
    <w:pPr>
      <w:pStyle w:val="Nagwek"/>
      <w:ind w:left="-851" w:right="5526"/>
      <w:jc w:val="center"/>
      <w:rPr>
        <w:b/>
        <w:sz w:val="8"/>
        <w:szCs w:val="8"/>
      </w:rPr>
    </w:pPr>
  </w:p>
  <w:p w:rsidR="003E0943" w:rsidRPr="00551ABF" w:rsidRDefault="003E0943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 w:rsidR="00BE2C1E">
      <w:rPr>
        <w:b/>
      </w:rPr>
      <w:t>A</w:t>
    </w:r>
    <w:r w:rsidRPr="00551ABF">
      <w:rPr>
        <w:b/>
      </w:rPr>
      <w:t xml:space="preserve"> SZKOŁ</w:t>
    </w:r>
    <w:r w:rsidR="00BE2C1E">
      <w:rPr>
        <w:b/>
      </w:rPr>
      <w:t>A</w:t>
    </w:r>
  </w:p>
  <w:p w:rsidR="003E0943" w:rsidRPr="00D021CB" w:rsidRDefault="003E0943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3E0943" w:rsidRPr="004F17DC" w:rsidRDefault="003E0943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8B"/>
    <w:multiLevelType w:val="hybridMultilevel"/>
    <w:tmpl w:val="BF92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C32D9"/>
    <w:multiLevelType w:val="hybridMultilevel"/>
    <w:tmpl w:val="FCBE9758"/>
    <w:lvl w:ilvl="0" w:tplc="E098E40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C4AD6"/>
    <w:multiLevelType w:val="hybridMultilevel"/>
    <w:tmpl w:val="066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51D41"/>
    <w:multiLevelType w:val="hybridMultilevel"/>
    <w:tmpl w:val="0172D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9028EF"/>
    <w:multiLevelType w:val="hybridMultilevel"/>
    <w:tmpl w:val="B784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87089"/>
    <w:multiLevelType w:val="hybridMultilevel"/>
    <w:tmpl w:val="03286C6C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212C96"/>
    <w:multiLevelType w:val="hybridMultilevel"/>
    <w:tmpl w:val="6602B978"/>
    <w:lvl w:ilvl="0" w:tplc="4D16C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06429"/>
    <w:multiLevelType w:val="hybridMultilevel"/>
    <w:tmpl w:val="910ABF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3D6BF4"/>
    <w:multiLevelType w:val="hybridMultilevel"/>
    <w:tmpl w:val="9196B40E"/>
    <w:lvl w:ilvl="0" w:tplc="B0CADDD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1845B1"/>
    <w:multiLevelType w:val="hybridMultilevel"/>
    <w:tmpl w:val="9D64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C62EE"/>
    <w:multiLevelType w:val="hybridMultilevel"/>
    <w:tmpl w:val="C4AED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56E23"/>
    <w:multiLevelType w:val="hybridMultilevel"/>
    <w:tmpl w:val="49C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B5653"/>
    <w:multiLevelType w:val="hybridMultilevel"/>
    <w:tmpl w:val="BF9ECB88"/>
    <w:lvl w:ilvl="0" w:tplc="D41AAA8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1CA6E72"/>
    <w:multiLevelType w:val="hybridMultilevel"/>
    <w:tmpl w:val="F8F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B3879"/>
    <w:multiLevelType w:val="hybridMultilevel"/>
    <w:tmpl w:val="86BA1862"/>
    <w:lvl w:ilvl="0" w:tplc="22BE2F0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03D9B"/>
    <w:multiLevelType w:val="hybridMultilevel"/>
    <w:tmpl w:val="3AA8B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2623B"/>
    <w:multiLevelType w:val="hybridMultilevel"/>
    <w:tmpl w:val="1E5E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A4BFF"/>
    <w:multiLevelType w:val="hybridMultilevel"/>
    <w:tmpl w:val="5642A5F6"/>
    <w:lvl w:ilvl="0" w:tplc="AC3A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8C547D"/>
    <w:multiLevelType w:val="hybridMultilevel"/>
    <w:tmpl w:val="1BB2E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B2282"/>
    <w:multiLevelType w:val="hybridMultilevel"/>
    <w:tmpl w:val="3338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6644E"/>
    <w:multiLevelType w:val="hybridMultilevel"/>
    <w:tmpl w:val="9D60E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8395A"/>
    <w:multiLevelType w:val="hybridMultilevel"/>
    <w:tmpl w:val="E39098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94849"/>
    <w:multiLevelType w:val="hybridMultilevel"/>
    <w:tmpl w:val="D7461AD0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445B6E"/>
    <w:multiLevelType w:val="hybridMultilevel"/>
    <w:tmpl w:val="ADA6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17"/>
  </w:num>
  <w:num w:numId="9">
    <w:abstractNumId w:val="22"/>
  </w:num>
  <w:num w:numId="10">
    <w:abstractNumId w:val="14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  <w:num w:numId="16">
    <w:abstractNumId w:val="3"/>
  </w:num>
  <w:num w:numId="17">
    <w:abstractNumId w:val="12"/>
  </w:num>
  <w:num w:numId="18">
    <w:abstractNumId w:val="4"/>
  </w:num>
  <w:num w:numId="19">
    <w:abstractNumId w:val="15"/>
  </w:num>
  <w:num w:numId="20">
    <w:abstractNumId w:val="20"/>
  </w:num>
  <w:num w:numId="21">
    <w:abstractNumId w:val="7"/>
  </w:num>
  <w:num w:numId="22">
    <w:abstractNumId w:val="18"/>
  </w:num>
  <w:num w:numId="23">
    <w:abstractNumId w:val="23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7"/>
    <w:rsid w:val="00001ED0"/>
    <w:rsid w:val="00015211"/>
    <w:rsid w:val="00031408"/>
    <w:rsid w:val="00044080"/>
    <w:rsid w:val="0005540A"/>
    <w:rsid w:val="00056F49"/>
    <w:rsid w:val="00061F71"/>
    <w:rsid w:val="00087C9C"/>
    <w:rsid w:val="000A0943"/>
    <w:rsid w:val="000A1407"/>
    <w:rsid w:val="000A5BA1"/>
    <w:rsid w:val="000A676D"/>
    <w:rsid w:val="000B2D57"/>
    <w:rsid w:val="000B3634"/>
    <w:rsid w:val="000B605E"/>
    <w:rsid w:val="000C468D"/>
    <w:rsid w:val="000E2703"/>
    <w:rsid w:val="000E5713"/>
    <w:rsid w:val="000F09A4"/>
    <w:rsid w:val="0010754E"/>
    <w:rsid w:val="00112C3A"/>
    <w:rsid w:val="001155D0"/>
    <w:rsid w:val="00125120"/>
    <w:rsid w:val="0013031D"/>
    <w:rsid w:val="00143678"/>
    <w:rsid w:val="00143E6E"/>
    <w:rsid w:val="00147411"/>
    <w:rsid w:val="00150EF0"/>
    <w:rsid w:val="0016286D"/>
    <w:rsid w:val="00163263"/>
    <w:rsid w:val="001638B6"/>
    <w:rsid w:val="0017060C"/>
    <w:rsid w:val="00170D83"/>
    <w:rsid w:val="00171186"/>
    <w:rsid w:val="00182298"/>
    <w:rsid w:val="00184FE8"/>
    <w:rsid w:val="001854B4"/>
    <w:rsid w:val="0018576F"/>
    <w:rsid w:val="00193CB1"/>
    <w:rsid w:val="001A56CE"/>
    <w:rsid w:val="001B7E32"/>
    <w:rsid w:val="001C400C"/>
    <w:rsid w:val="001C58F2"/>
    <w:rsid w:val="001D0FA1"/>
    <w:rsid w:val="001D5861"/>
    <w:rsid w:val="001E4EAB"/>
    <w:rsid w:val="001F595C"/>
    <w:rsid w:val="00204783"/>
    <w:rsid w:val="00217D36"/>
    <w:rsid w:val="00223241"/>
    <w:rsid w:val="00223DBF"/>
    <w:rsid w:val="0022627C"/>
    <w:rsid w:val="002526BA"/>
    <w:rsid w:val="00256D6E"/>
    <w:rsid w:val="00257B26"/>
    <w:rsid w:val="00264333"/>
    <w:rsid w:val="002661AF"/>
    <w:rsid w:val="00282ADF"/>
    <w:rsid w:val="002834EE"/>
    <w:rsid w:val="00286E9B"/>
    <w:rsid w:val="002A0A05"/>
    <w:rsid w:val="002A1121"/>
    <w:rsid w:val="002A4707"/>
    <w:rsid w:val="002A6295"/>
    <w:rsid w:val="002B15B3"/>
    <w:rsid w:val="002C0336"/>
    <w:rsid w:val="002C108F"/>
    <w:rsid w:val="002C3D7F"/>
    <w:rsid w:val="002D457C"/>
    <w:rsid w:val="002D746A"/>
    <w:rsid w:val="002E0539"/>
    <w:rsid w:val="002E053D"/>
    <w:rsid w:val="002E2F8B"/>
    <w:rsid w:val="002F124B"/>
    <w:rsid w:val="002F1306"/>
    <w:rsid w:val="002F2AC8"/>
    <w:rsid w:val="002F4ABD"/>
    <w:rsid w:val="002F6A67"/>
    <w:rsid w:val="0030452E"/>
    <w:rsid w:val="00310321"/>
    <w:rsid w:val="00310736"/>
    <w:rsid w:val="0031313F"/>
    <w:rsid w:val="00314994"/>
    <w:rsid w:val="00316BF9"/>
    <w:rsid w:val="00324669"/>
    <w:rsid w:val="003279DB"/>
    <w:rsid w:val="00330370"/>
    <w:rsid w:val="00331A41"/>
    <w:rsid w:val="003334A7"/>
    <w:rsid w:val="00336ED0"/>
    <w:rsid w:val="00343E49"/>
    <w:rsid w:val="00345FBA"/>
    <w:rsid w:val="00350C42"/>
    <w:rsid w:val="003651EA"/>
    <w:rsid w:val="00370A9F"/>
    <w:rsid w:val="00383757"/>
    <w:rsid w:val="00386A98"/>
    <w:rsid w:val="003870D8"/>
    <w:rsid w:val="00392CC9"/>
    <w:rsid w:val="00393251"/>
    <w:rsid w:val="003A0DB5"/>
    <w:rsid w:val="003A52BF"/>
    <w:rsid w:val="003A7A15"/>
    <w:rsid w:val="003B67DA"/>
    <w:rsid w:val="003B77F0"/>
    <w:rsid w:val="003C5BB3"/>
    <w:rsid w:val="003D39BE"/>
    <w:rsid w:val="003D49E8"/>
    <w:rsid w:val="003E0943"/>
    <w:rsid w:val="003E4262"/>
    <w:rsid w:val="003F23EE"/>
    <w:rsid w:val="004126BB"/>
    <w:rsid w:val="004201E0"/>
    <w:rsid w:val="00426154"/>
    <w:rsid w:val="00426C18"/>
    <w:rsid w:val="004331FB"/>
    <w:rsid w:val="00437675"/>
    <w:rsid w:val="00443102"/>
    <w:rsid w:val="004549EA"/>
    <w:rsid w:val="0046379B"/>
    <w:rsid w:val="004649B3"/>
    <w:rsid w:val="00465C50"/>
    <w:rsid w:val="004741E5"/>
    <w:rsid w:val="00483A81"/>
    <w:rsid w:val="00492943"/>
    <w:rsid w:val="004A7537"/>
    <w:rsid w:val="004B04A0"/>
    <w:rsid w:val="004B4784"/>
    <w:rsid w:val="004C0BD9"/>
    <w:rsid w:val="004C4786"/>
    <w:rsid w:val="004D7B2F"/>
    <w:rsid w:val="00505E18"/>
    <w:rsid w:val="00511FF6"/>
    <w:rsid w:val="00523E40"/>
    <w:rsid w:val="00524885"/>
    <w:rsid w:val="00550510"/>
    <w:rsid w:val="005526B9"/>
    <w:rsid w:val="005649EF"/>
    <w:rsid w:val="005668ED"/>
    <w:rsid w:val="00574264"/>
    <w:rsid w:val="00587214"/>
    <w:rsid w:val="00590575"/>
    <w:rsid w:val="005A6CC6"/>
    <w:rsid w:val="005A6F2B"/>
    <w:rsid w:val="005A7166"/>
    <w:rsid w:val="005B65C1"/>
    <w:rsid w:val="005C28FA"/>
    <w:rsid w:val="005D1A59"/>
    <w:rsid w:val="005D5059"/>
    <w:rsid w:val="005E261B"/>
    <w:rsid w:val="005E4833"/>
    <w:rsid w:val="005E5A5B"/>
    <w:rsid w:val="005F2277"/>
    <w:rsid w:val="00604E58"/>
    <w:rsid w:val="00606CDE"/>
    <w:rsid w:val="00613065"/>
    <w:rsid w:val="00623AEE"/>
    <w:rsid w:val="006326DB"/>
    <w:rsid w:val="0063293A"/>
    <w:rsid w:val="0063584D"/>
    <w:rsid w:val="00637E3D"/>
    <w:rsid w:val="006411E2"/>
    <w:rsid w:val="006524AF"/>
    <w:rsid w:val="00664109"/>
    <w:rsid w:val="00666C79"/>
    <w:rsid w:val="00667965"/>
    <w:rsid w:val="0067372A"/>
    <w:rsid w:val="00675837"/>
    <w:rsid w:val="006C04F9"/>
    <w:rsid w:val="006C09B0"/>
    <w:rsid w:val="006C4FF7"/>
    <w:rsid w:val="006C5008"/>
    <w:rsid w:val="006C5695"/>
    <w:rsid w:val="006C5D14"/>
    <w:rsid w:val="006C6A93"/>
    <w:rsid w:val="006C7EA9"/>
    <w:rsid w:val="006D3102"/>
    <w:rsid w:val="006D6B3E"/>
    <w:rsid w:val="006D78CD"/>
    <w:rsid w:val="006F2B50"/>
    <w:rsid w:val="00702EA8"/>
    <w:rsid w:val="007126B3"/>
    <w:rsid w:val="00724FF1"/>
    <w:rsid w:val="007259C5"/>
    <w:rsid w:val="00736B5D"/>
    <w:rsid w:val="00740DFE"/>
    <w:rsid w:val="00745485"/>
    <w:rsid w:val="00746720"/>
    <w:rsid w:val="007612C1"/>
    <w:rsid w:val="007730E4"/>
    <w:rsid w:val="00774415"/>
    <w:rsid w:val="0078723F"/>
    <w:rsid w:val="007901DE"/>
    <w:rsid w:val="007917C7"/>
    <w:rsid w:val="007A2867"/>
    <w:rsid w:val="007C68F3"/>
    <w:rsid w:val="007C6AE2"/>
    <w:rsid w:val="007D2986"/>
    <w:rsid w:val="007E3B73"/>
    <w:rsid w:val="007F4C1F"/>
    <w:rsid w:val="007F63BF"/>
    <w:rsid w:val="007F793E"/>
    <w:rsid w:val="00802B9F"/>
    <w:rsid w:val="00805512"/>
    <w:rsid w:val="0082092C"/>
    <w:rsid w:val="0082154F"/>
    <w:rsid w:val="00826E91"/>
    <w:rsid w:val="008361AF"/>
    <w:rsid w:val="00836753"/>
    <w:rsid w:val="0083735A"/>
    <w:rsid w:val="00851075"/>
    <w:rsid w:val="00851C05"/>
    <w:rsid w:val="008549D3"/>
    <w:rsid w:val="00861C90"/>
    <w:rsid w:val="00862151"/>
    <w:rsid w:val="00864EC0"/>
    <w:rsid w:val="00865163"/>
    <w:rsid w:val="0088190F"/>
    <w:rsid w:val="008935DC"/>
    <w:rsid w:val="00897EA5"/>
    <w:rsid w:val="008C70DD"/>
    <w:rsid w:val="008D4877"/>
    <w:rsid w:val="008E2ABF"/>
    <w:rsid w:val="008E45A4"/>
    <w:rsid w:val="008F01C4"/>
    <w:rsid w:val="008F6B0D"/>
    <w:rsid w:val="008F7B8A"/>
    <w:rsid w:val="009070CF"/>
    <w:rsid w:val="0090738F"/>
    <w:rsid w:val="009247F0"/>
    <w:rsid w:val="009278BF"/>
    <w:rsid w:val="00951A86"/>
    <w:rsid w:val="00964355"/>
    <w:rsid w:val="009665B1"/>
    <w:rsid w:val="0097441A"/>
    <w:rsid w:val="009812FD"/>
    <w:rsid w:val="00984FCD"/>
    <w:rsid w:val="009864C3"/>
    <w:rsid w:val="00993A8C"/>
    <w:rsid w:val="00996F96"/>
    <w:rsid w:val="00997425"/>
    <w:rsid w:val="009A34ED"/>
    <w:rsid w:val="009A3791"/>
    <w:rsid w:val="009B4117"/>
    <w:rsid w:val="009B4D47"/>
    <w:rsid w:val="009C380B"/>
    <w:rsid w:val="009C5A1D"/>
    <w:rsid w:val="009D3E07"/>
    <w:rsid w:val="009D6AF3"/>
    <w:rsid w:val="009E148A"/>
    <w:rsid w:val="009E5E12"/>
    <w:rsid w:val="009F0316"/>
    <w:rsid w:val="009F1086"/>
    <w:rsid w:val="00A028D1"/>
    <w:rsid w:val="00A057B7"/>
    <w:rsid w:val="00A27599"/>
    <w:rsid w:val="00A3380C"/>
    <w:rsid w:val="00A350DA"/>
    <w:rsid w:val="00A505C8"/>
    <w:rsid w:val="00A64424"/>
    <w:rsid w:val="00A65EDE"/>
    <w:rsid w:val="00A70BD3"/>
    <w:rsid w:val="00A93AE1"/>
    <w:rsid w:val="00A95408"/>
    <w:rsid w:val="00A96E0A"/>
    <w:rsid w:val="00AA281A"/>
    <w:rsid w:val="00AA790C"/>
    <w:rsid w:val="00AB3055"/>
    <w:rsid w:val="00AD40FF"/>
    <w:rsid w:val="00AD68A3"/>
    <w:rsid w:val="00AE1D92"/>
    <w:rsid w:val="00AE39A9"/>
    <w:rsid w:val="00AE69A6"/>
    <w:rsid w:val="00AF61FA"/>
    <w:rsid w:val="00B016BF"/>
    <w:rsid w:val="00B04C4A"/>
    <w:rsid w:val="00B07AC8"/>
    <w:rsid w:val="00B148C7"/>
    <w:rsid w:val="00B20733"/>
    <w:rsid w:val="00B27BCE"/>
    <w:rsid w:val="00B56F2E"/>
    <w:rsid w:val="00B57786"/>
    <w:rsid w:val="00B81F47"/>
    <w:rsid w:val="00B82ADB"/>
    <w:rsid w:val="00B84BCE"/>
    <w:rsid w:val="00B94D38"/>
    <w:rsid w:val="00BA1C59"/>
    <w:rsid w:val="00BA5201"/>
    <w:rsid w:val="00BA7FE7"/>
    <w:rsid w:val="00BB11BE"/>
    <w:rsid w:val="00BB122C"/>
    <w:rsid w:val="00BB772D"/>
    <w:rsid w:val="00BC04B9"/>
    <w:rsid w:val="00BC0B59"/>
    <w:rsid w:val="00BC354F"/>
    <w:rsid w:val="00BE2C1E"/>
    <w:rsid w:val="00BE4221"/>
    <w:rsid w:val="00BE4E8C"/>
    <w:rsid w:val="00BE519E"/>
    <w:rsid w:val="00BF5C3F"/>
    <w:rsid w:val="00C10AC8"/>
    <w:rsid w:val="00C17E26"/>
    <w:rsid w:val="00C23EAF"/>
    <w:rsid w:val="00C34CDB"/>
    <w:rsid w:val="00C440C8"/>
    <w:rsid w:val="00C47D92"/>
    <w:rsid w:val="00C47F3F"/>
    <w:rsid w:val="00C500EA"/>
    <w:rsid w:val="00C7030C"/>
    <w:rsid w:val="00C8587E"/>
    <w:rsid w:val="00C90EBA"/>
    <w:rsid w:val="00C93323"/>
    <w:rsid w:val="00C965D3"/>
    <w:rsid w:val="00CA13A6"/>
    <w:rsid w:val="00CA6CEB"/>
    <w:rsid w:val="00CB52C2"/>
    <w:rsid w:val="00CB5322"/>
    <w:rsid w:val="00CC777C"/>
    <w:rsid w:val="00CC7CEE"/>
    <w:rsid w:val="00CD3CAC"/>
    <w:rsid w:val="00CE366E"/>
    <w:rsid w:val="00CE3808"/>
    <w:rsid w:val="00CE4AD7"/>
    <w:rsid w:val="00CE6476"/>
    <w:rsid w:val="00CF0630"/>
    <w:rsid w:val="00CF63F3"/>
    <w:rsid w:val="00D21442"/>
    <w:rsid w:val="00D26A76"/>
    <w:rsid w:val="00D37EE8"/>
    <w:rsid w:val="00D41232"/>
    <w:rsid w:val="00D54CB2"/>
    <w:rsid w:val="00D56BB4"/>
    <w:rsid w:val="00D5776A"/>
    <w:rsid w:val="00D61ADB"/>
    <w:rsid w:val="00D723AD"/>
    <w:rsid w:val="00D73891"/>
    <w:rsid w:val="00D835F9"/>
    <w:rsid w:val="00D846DE"/>
    <w:rsid w:val="00D85D5A"/>
    <w:rsid w:val="00D8600B"/>
    <w:rsid w:val="00DA3272"/>
    <w:rsid w:val="00DA440B"/>
    <w:rsid w:val="00DA4D81"/>
    <w:rsid w:val="00DA7575"/>
    <w:rsid w:val="00DB73A2"/>
    <w:rsid w:val="00DB76E0"/>
    <w:rsid w:val="00DC0292"/>
    <w:rsid w:val="00DC1B24"/>
    <w:rsid w:val="00DD1350"/>
    <w:rsid w:val="00DD26B4"/>
    <w:rsid w:val="00DD3F19"/>
    <w:rsid w:val="00DD6CCF"/>
    <w:rsid w:val="00DE6D28"/>
    <w:rsid w:val="00DF7BED"/>
    <w:rsid w:val="00E0128E"/>
    <w:rsid w:val="00E032F9"/>
    <w:rsid w:val="00E17E32"/>
    <w:rsid w:val="00E20DFE"/>
    <w:rsid w:val="00E237CC"/>
    <w:rsid w:val="00E25776"/>
    <w:rsid w:val="00E42D1D"/>
    <w:rsid w:val="00E4417E"/>
    <w:rsid w:val="00E46164"/>
    <w:rsid w:val="00E46468"/>
    <w:rsid w:val="00E46996"/>
    <w:rsid w:val="00E50E48"/>
    <w:rsid w:val="00E5380B"/>
    <w:rsid w:val="00E54FAD"/>
    <w:rsid w:val="00E765DE"/>
    <w:rsid w:val="00E85732"/>
    <w:rsid w:val="00E95DEB"/>
    <w:rsid w:val="00EA2A00"/>
    <w:rsid w:val="00EB6A7F"/>
    <w:rsid w:val="00EB7116"/>
    <w:rsid w:val="00EC2CA0"/>
    <w:rsid w:val="00EE0317"/>
    <w:rsid w:val="00EF2EA1"/>
    <w:rsid w:val="00EF305E"/>
    <w:rsid w:val="00EF38CC"/>
    <w:rsid w:val="00EF7557"/>
    <w:rsid w:val="00F075FA"/>
    <w:rsid w:val="00F07E82"/>
    <w:rsid w:val="00F139BC"/>
    <w:rsid w:val="00F13E5F"/>
    <w:rsid w:val="00F17520"/>
    <w:rsid w:val="00F17585"/>
    <w:rsid w:val="00F2389D"/>
    <w:rsid w:val="00F23BFD"/>
    <w:rsid w:val="00F3403B"/>
    <w:rsid w:val="00F3437F"/>
    <w:rsid w:val="00F40CE3"/>
    <w:rsid w:val="00F4169D"/>
    <w:rsid w:val="00F4499D"/>
    <w:rsid w:val="00F45026"/>
    <w:rsid w:val="00F551BF"/>
    <w:rsid w:val="00F60240"/>
    <w:rsid w:val="00F60EBF"/>
    <w:rsid w:val="00F6694F"/>
    <w:rsid w:val="00F821F8"/>
    <w:rsid w:val="00F82E24"/>
    <w:rsid w:val="00F87808"/>
    <w:rsid w:val="00F919AD"/>
    <w:rsid w:val="00F97AAC"/>
    <w:rsid w:val="00FA127B"/>
    <w:rsid w:val="00FB4F16"/>
    <w:rsid w:val="00FB669B"/>
    <w:rsid w:val="00FC096D"/>
    <w:rsid w:val="00FC2D6A"/>
    <w:rsid w:val="00FE1AA8"/>
    <w:rsid w:val="00FE224C"/>
    <w:rsid w:val="00FE4018"/>
    <w:rsid w:val="00FE48D7"/>
    <w:rsid w:val="00FF6DF9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fault">
    <w:name w:val="Default"/>
    <w:basedOn w:val="Normalny"/>
    <w:rsid w:val="000B2D57"/>
    <w:pPr>
      <w:autoSpaceDE w:val="0"/>
      <w:autoSpaceDN w:val="0"/>
    </w:pPr>
    <w:rPr>
      <w:rFonts w:eastAsia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fault">
    <w:name w:val="Default"/>
    <w:basedOn w:val="Normalny"/>
    <w:rsid w:val="000B2D57"/>
    <w:pPr>
      <w:autoSpaceDE w:val="0"/>
      <w:autoSpaceDN w:val="0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3FC8-BE22-4182-8228-CC95C07D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OSW-R-1082/09</vt:lpstr>
    </vt:vector>
  </TitlesOfParts>
  <Company>KSSIP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OSW-R-1082/09</dc:title>
  <dc:creator>barmik</dc:creator>
  <cp:lastModifiedBy>Tomasz Klaja</cp:lastModifiedBy>
  <cp:revision>2</cp:revision>
  <cp:lastPrinted>2019-05-17T07:18:00Z</cp:lastPrinted>
  <dcterms:created xsi:type="dcterms:W3CDTF">2021-03-03T06:42:00Z</dcterms:created>
  <dcterms:modified xsi:type="dcterms:W3CDTF">2021-03-03T06:42:00Z</dcterms:modified>
</cp:coreProperties>
</file>