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4" w:rsidRDefault="00660FFD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9E14D6">
        <w:rPr>
          <w:rFonts w:ascii="Times New Roman" w:eastAsia="Times New Roman" w:hAnsi="Times New Roman" w:cs="Times New Roman"/>
          <w:sz w:val="24"/>
          <w:szCs w:val="24"/>
          <w:lang w:eastAsia="pl-PL"/>
        </w:rPr>
        <w:t>35.2019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Kraków, dnia</w:t>
      </w:r>
      <w:r w:rsidR="009E14D6">
        <w:rPr>
          <w:rFonts w:ascii="Times New Roman" w:eastAsia="Calibri" w:hAnsi="Times New Roman" w:cs="Times New Roman"/>
          <w:sz w:val="24"/>
          <w:szCs w:val="24"/>
        </w:rPr>
        <w:t>12 lutego 2020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A1060" w:rsidRPr="00077D8D" w:rsidRDefault="00AA1060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gramStart"/>
      <w:r w:rsidRPr="00077D8D">
        <w:rPr>
          <w:rFonts w:ascii="Times New Roman" w:eastAsia="Calibri" w:hAnsi="Times New Roman" w:cs="Times New Roman"/>
          <w:b/>
          <w:sz w:val="24"/>
          <w:szCs w:val="24"/>
        </w:rPr>
        <w:t>oraz</w:t>
      </w:r>
      <w:proofErr w:type="gramEnd"/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Patroni praktyk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AA1060" w:rsidRPr="00077D8D" w:rsidRDefault="00AA1060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Dotyczy: praktyk</w:t>
      </w:r>
      <w:r w:rsidR="00FE43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X</w:t>
      </w:r>
      <w:bookmarkStart w:id="0" w:name="_GoBack"/>
      <w:bookmarkEnd w:id="0"/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</w:t>
      </w:r>
      <w:r w:rsidR="00305A2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4B683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D8221F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077D8D" w:rsidRDefault="00AD0D24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077D8D" w:rsidRDefault="009E14D6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>koły Sądownictwa i Prokuratury w Krakowie Nr 132/2019 z dnia 15 marca 2019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 roku w sprawie szczegółowych zasad odbywania praktyki przez ap</w:t>
      </w:r>
      <w:r>
        <w:rPr>
          <w:rFonts w:ascii="Times New Roman" w:eastAsia="Calibri" w:hAnsi="Times New Roman" w:cs="Times New Roman"/>
          <w:sz w:val="24"/>
          <w:szCs w:val="24"/>
        </w:rPr>
        <w:t>likantów aplikacji sędziowskiej i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 prokuratorskiej, uprzejmie przedstawiam szczegółowy zakres tematyczny,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po</w:t>
      </w:r>
      <w:r w:rsidR="00660FFD" w:rsidRPr="00077D8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="00660FFD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marca  do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27 marca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2020 roku w sądach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>rejonowych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wydziałach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>karnych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oraz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b/>
          <w:sz w:val="24"/>
          <w:szCs w:val="24"/>
        </w:rPr>
        <w:t>30 marca do 3</w:t>
      </w:r>
      <w:r w:rsidR="00D82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kwietnia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60FFD" w:rsidRPr="00077D8D">
        <w:rPr>
          <w:rFonts w:ascii="Times New Roman" w:eastAsia="Calibri" w:hAnsi="Times New Roman" w:cs="Times New Roman"/>
          <w:b/>
          <w:sz w:val="24"/>
          <w:szCs w:val="24"/>
        </w:rPr>
        <w:t>prokuraturach rejonowych.</w:t>
      </w:r>
    </w:p>
    <w:p w:rsidR="00D8221F" w:rsidRDefault="00733647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Zasadniczym celem praktyki jest zapoznanie aplikantów z zasadami sądowej kontroli rozstrzygnięć prokuratora kończących postępowanie przygotowawcze oraz utrwalenie umiejętności przygotowywania wystąpienia prokuratora na </w:t>
      </w:r>
      <w:r w:rsidR="00D8221F">
        <w:rPr>
          <w:rFonts w:ascii="Times New Roman" w:eastAsia="Calibri" w:hAnsi="Times New Roman" w:cs="Times New Roman"/>
          <w:sz w:val="24"/>
          <w:szCs w:val="24"/>
        </w:rPr>
        <w:t>posiedzeniu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sądu w przedmiocie zażalenia na postanowienie prokuratora kończące postępowanie 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5F0A" w:rsidRPr="00077D8D" w:rsidRDefault="00D85949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Nadto</w:t>
      </w:r>
      <w:r w:rsidR="00733647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ałożeniem praktyki jest zaznajomienie aplikantów z czynnościami i metodyką pracy patronów praktyk</w:t>
      </w:r>
      <w:r w:rsidR="00F75086" w:rsidRPr="00077D8D">
        <w:rPr>
          <w:rFonts w:ascii="Times New Roman" w:eastAsia="Calibri" w:hAnsi="Times New Roman" w:cs="Times New Roman"/>
          <w:sz w:val="24"/>
          <w:szCs w:val="24"/>
        </w:rPr>
        <w:t xml:space="preserve"> oraz doskonalenie umiejętności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wykorzystania wiedzy </w:t>
      </w:r>
      <w:proofErr w:type="gramStart"/>
      <w:r w:rsidR="00DE256F" w:rsidRPr="00077D8D">
        <w:rPr>
          <w:rFonts w:ascii="Times New Roman" w:eastAsia="Calibri" w:hAnsi="Times New Roman" w:cs="Times New Roman"/>
          <w:sz w:val="24"/>
          <w:szCs w:val="24"/>
        </w:rPr>
        <w:t>teoretycznej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647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znajomości orzecznictwa. Każdorazowo praktyka </w:t>
      </w:r>
      <w:r w:rsidR="00733647">
        <w:rPr>
          <w:rFonts w:ascii="Times New Roman" w:eastAsia="Calibri" w:hAnsi="Times New Roman" w:cs="Times New Roman"/>
          <w:sz w:val="24"/>
          <w:szCs w:val="24"/>
        </w:rPr>
        <w:t>po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winna utrwalić wiedzę zdobytą podczas bezpośrednio poprzedzających ją zajęć seminaryjnych w ramach zjazdu.</w:t>
      </w:r>
    </w:p>
    <w:p w:rsidR="00306294" w:rsidRDefault="00660FF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>X</w:t>
      </w:r>
      <w:r w:rsidR="00D8221F">
        <w:rPr>
          <w:rFonts w:ascii="Times New Roman" w:eastAsia="Calibri" w:hAnsi="Times New Roman" w:cs="Times New Roman"/>
          <w:sz w:val="24"/>
          <w:szCs w:val="24"/>
        </w:rPr>
        <w:t>I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>I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9E14D6">
        <w:rPr>
          <w:rFonts w:ascii="Times New Roman" w:eastAsia="Calibri" w:hAnsi="Times New Roman" w:cs="Times New Roman"/>
          <w:sz w:val="24"/>
          <w:szCs w:val="24"/>
        </w:rPr>
        <w:t>9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9E14D6">
        <w:rPr>
          <w:rFonts w:ascii="Times New Roman" w:eastAsia="Calibri" w:hAnsi="Times New Roman" w:cs="Times New Roman"/>
          <w:sz w:val="24"/>
          <w:szCs w:val="24"/>
        </w:rPr>
        <w:t>13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 xml:space="preserve"> marca</w:t>
      </w:r>
      <w:r w:rsidR="004B06E6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4D6">
        <w:rPr>
          <w:rFonts w:ascii="Times New Roman" w:eastAsia="Calibri" w:hAnsi="Times New Roman" w:cs="Times New Roman"/>
          <w:sz w:val="24"/>
          <w:szCs w:val="24"/>
        </w:rPr>
        <w:t>2020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 w:rsidRPr="00077D8D">
        <w:rPr>
          <w:rFonts w:ascii="Times New Roman" w:eastAsia="Calibri" w:hAnsi="Times New Roman" w:cs="Times New Roman"/>
          <w:sz w:val="24"/>
          <w:szCs w:val="24"/>
        </w:rPr>
        <w:t>jest</w:t>
      </w:r>
      <w:r w:rsidR="007336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3E9" w:rsidRPr="009E14D6" w:rsidRDefault="009E14D6" w:rsidP="009E14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9E14D6">
        <w:rPr>
          <w:rFonts w:ascii="Times New Roman" w:eastAsia="Calibri" w:hAnsi="Times New Roman" w:cs="Times New Roman"/>
          <w:sz w:val="24"/>
          <w:szCs w:val="24"/>
          <w:u w:val="single"/>
        </w:rPr>
        <w:t>medycyna</w:t>
      </w:r>
      <w:proofErr w:type="gramEnd"/>
      <w:r w:rsidRPr="009E14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sądowa</w:t>
      </w:r>
      <w:r w:rsidR="00D94B60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6538D" w:rsidRPr="009E14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 tym</w:t>
      </w:r>
      <w:r w:rsidR="002B5BB6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E14D6" w:rsidRPr="009E14D6" w:rsidRDefault="0076538D" w:rsidP="009E1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9E14D6">
        <w:rPr>
          <w:rFonts w:ascii="Times New Roman" w:eastAsia="Calibri" w:hAnsi="Times New Roman" w:cs="Times New Roman"/>
          <w:sz w:val="24"/>
          <w:szCs w:val="24"/>
        </w:rPr>
        <w:t>toksykologia</w:t>
      </w:r>
      <w:proofErr w:type="gramEnd"/>
      <w:r w:rsidR="009E14D6">
        <w:rPr>
          <w:rFonts w:ascii="Times New Roman" w:eastAsia="Calibri" w:hAnsi="Times New Roman" w:cs="Times New Roman"/>
          <w:sz w:val="24"/>
          <w:szCs w:val="24"/>
        </w:rPr>
        <w:t xml:space="preserve"> i alkohologia sądowo-lekarska; ustalanie stanu nietrzeźwości; środki </w:t>
      </w:r>
      <w:r w:rsidR="00805A2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E14D6">
        <w:rPr>
          <w:rFonts w:ascii="Times New Roman" w:eastAsia="Calibri" w:hAnsi="Times New Roman" w:cs="Times New Roman"/>
          <w:sz w:val="24"/>
          <w:szCs w:val="24"/>
        </w:rPr>
        <w:t>odurzające oraz tzw. dopalacze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D0B" w:rsidRPr="00077D8D" w:rsidRDefault="0076538D" w:rsidP="009E1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 </w:t>
      </w:r>
      <w:r w:rsidR="009E14D6">
        <w:rPr>
          <w:rFonts w:ascii="Times New Roman" w:eastAsia="Calibri" w:hAnsi="Times New Roman" w:cs="Times New Roman"/>
          <w:sz w:val="24"/>
          <w:szCs w:val="24"/>
        </w:rPr>
        <w:t>badanie</w:t>
      </w:r>
      <w:proofErr w:type="gramEnd"/>
      <w:r w:rsidR="009E14D6">
        <w:rPr>
          <w:rFonts w:ascii="Times New Roman" w:eastAsia="Calibri" w:hAnsi="Times New Roman" w:cs="Times New Roman"/>
          <w:sz w:val="24"/>
          <w:szCs w:val="24"/>
        </w:rPr>
        <w:t xml:space="preserve"> śladów krwi i innych śladów biologicznych; </w:t>
      </w:r>
      <w:proofErr w:type="spellStart"/>
      <w:r w:rsidR="009E14D6">
        <w:rPr>
          <w:rFonts w:ascii="Times New Roman" w:eastAsia="Calibri" w:hAnsi="Times New Roman" w:cs="Times New Roman"/>
          <w:sz w:val="24"/>
          <w:szCs w:val="24"/>
        </w:rPr>
        <w:t>hemogenetyka</w:t>
      </w:r>
      <w:proofErr w:type="spellEnd"/>
      <w:r w:rsidR="009E14D6">
        <w:rPr>
          <w:rFonts w:ascii="Times New Roman" w:eastAsia="Calibri" w:hAnsi="Times New Roman" w:cs="Times New Roman"/>
          <w:sz w:val="24"/>
          <w:szCs w:val="24"/>
        </w:rPr>
        <w:t xml:space="preserve"> oraz biomechanika śladów krwawych; ujawnianie śladów niewidocznych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306294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26FEA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p</w:t>
      </w:r>
      <w:r w:rsidR="008B43E9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rawo karne procesowe</w:t>
      </w:r>
      <w:r w:rsidR="00C26FEA" w:rsidRPr="009E14D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6538D" w:rsidRPr="009E14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 tym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>: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3E9" w:rsidRPr="00077D8D" w:rsidRDefault="000C2D0B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o</w:t>
      </w:r>
      <w:r w:rsidR="00D8221F">
        <w:rPr>
          <w:rFonts w:ascii="Times New Roman" w:eastAsia="Calibri" w:hAnsi="Times New Roman" w:cs="Times New Roman"/>
          <w:sz w:val="24"/>
          <w:szCs w:val="24"/>
        </w:rPr>
        <w:t>cenianie przez prokuratora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zasadności środka odwoławczego od postanowienia kończącego postępowanie przygotowawcze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628F0">
        <w:rPr>
          <w:rFonts w:ascii="Times New Roman" w:eastAsia="Calibri" w:hAnsi="Times New Roman" w:cs="Times New Roman"/>
          <w:sz w:val="24"/>
          <w:szCs w:val="24"/>
        </w:rPr>
        <w:t>s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ądowa kontrola decyzji prokuratora kończących postępowanie przygotowawcze</w:t>
      </w:r>
      <w:r w:rsidR="00D8221F">
        <w:rPr>
          <w:rFonts w:ascii="Times New Roman" w:eastAsia="Calibri" w:hAnsi="Times New Roman" w:cs="Times New Roman"/>
          <w:sz w:val="24"/>
          <w:szCs w:val="24"/>
        </w:rPr>
        <w:t xml:space="preserve"> (inne czynności sądowe w postępow</w:t>
      </w:r>
      <w:r w:rsidR="009E14D6">
        <w:rPr>
          <w:rFonts w:ascii="Times New Roman" w:eastAsia="Calibri" w:hAnsi="Times New Roman" w:cs="Times New Roman"/>
          <w:sz w:val="24"/>
          <w:szCs w:val="24"/>
        </w:rPr>
        <w:t>aniu przygotowawczym podlegają</w:t>
      </w:r>
      <w:r w:rsidR="00D8221F">
        <w:rPr>
          <w:rFonts w:ascii="Times New Roman" w:eastAsia="Calibri" w:hAnsi="Times New Roman" w:cs="Times New Roman"/>
          <w:sz w:val="24"/>
          <w:szCs w:val="24"/>
        </w:rPr>
        <w:t xml:space="preserve"> omówieniu </w:t>
      </w:r>
      <w:r w:rsidR="00D8221F">
        <w:rPr>
          <w:rFonts w:ascii="Times New Roman" w:eastAsia="Calibri" w:hAnsi="Times New Roman" w:cs="Times New Roman"/>
          <w:sz w:val="24"/>
          <w:szCs w:val="24"/>
        </w:rPr>
        <w:br/>
        <w:t>w ramach zajęć z przebiegu postępowania przygotowawczego)</w:t>
      </w:r>
      <w:r w:rsidR="009D48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C417AC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k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artoteki i zewnętrzne bazy danych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5BB6" w:rsidRPr="00077D8D" w:rsidRDefault="0076538D" w:rsidP="00D82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D8221F">
        <w:rPr>
          <w:rFonts w:ascii="Times New Roman" w:eastAsia="Calibri" w:hAnsi="Times New Roman" w:cs="Times New Roman"/>
          <w:sz w:val="24"/>
          <w:szCs w:val="24"/>
        </w:rPr>
        <w:t>ochrona i wykorzystanie w postępowaniu informacji niejawnych (świadek anonimowy i świadek koronny; czynności operacyjno – rozpoznawcze) w świetle praktyki orzeczniczej krajowej i międzynarodowej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5BB6" w:rsidRPr="00077D8D" w:rsidRDefault="002B5BB6" w:rsidP="00EE63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Aplikantom </w:t>
      </w: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należy zatem</w:t>
      </w:r>
      <w:proofErr w:type="gramEnd"/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umożliwić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2B5BB6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z</w:t>
      </w:r>
      <w:r w:rsidR="002B5BB6" w:rsidRPr="00077D8D">
        <w:rPr>
          <w:rFonts w:ascii="Times New Roman" w:eastAsia="Calibri" w:hAnsi="Times New Roman" w:cs="Times New Roman"/>
          <w:sz w:val="24"/>
          <w:szCs w:val="24"/>
        </w:rPr>
        <w:t>apoznanie</w:t>
      </w:r>
      <w:proofErr w:type="gramEnd"/>
      <w:r w:rsidR="002B5BB6" w:rsidRPr="00077D8D">
        <w:rPr>
          <w:rFonts w:ascii="Times New Roman" w:eastAsia="Calibri" w:hAnsi="Times New Roman" w:cs="Times New Roman"/>
          <w:sz w:val="24"/>
          <w:szCs w:val="24"/>
        </w:rPr>
        <w:t xml:space="preserve"> się z zakresem i formami </w:t>
      </w:r>
      <w:r w:rsidRPr="00077D8D">
        <w:rPr>
          <w:rFonts w:ascii="Times New Roman" w:eastAsia="Calibri" w:hAnsi="Times New Roman" w:cs="Times New Roman"/>
          <w:sz w:val="24"/>
          <w:szCs w:val="24"/>
        </w:rPr>
        <w:t>ingerencji sądu w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analizę</w:t>
      </w:r>
      <w:proofErr w:type="gramEnd"/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różnorodnych akt spraw pod kątem oceny zasadności środka odwoławczego od postanowienia kończącego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przygotowanie projektów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wystąpień prokuratora obejmujących m.in. ustosunkowanie się do zarzu</w:t>
      </w:r>
      <w:r w:rsidR="009E14D6">
        <w:rPr>
          <w:rFonts w:ascii="Times New Roman" w:eastAsia="Calibri" w:hAnsi="Times New Roman" w:cs="Times New Roman"/>
          <w:sz w:val="24"/>
          <w:szCs w:val="24"/>
        </w:rPr>
        <w:t xml:space="preserve">tów i wniosków zażalenia </w:t>
      </w:r>
      <w:proofErr w:type="gramStart"/>
      <w:r w:rsidR="009E14D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postanowienie</w:t>
      </w:r>
      <w:proofErr w:type="gramEnd"/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kończące postępowanie przygotowawcze rozpoznawane na posiedzeniu sądu;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zapoznanie</w:t>
      </w:r>
      <w:proofErr w:type="gramEnd"/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się z pracą przewodniczącego składu sędziowskiego w zakresie przygotowania posiedzeń w przedmiocie rozpoznania zażaleń na postanowienia prokuratora kończące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analizę</w:t>
      </w:r>
      <w:proofErr w:type="gramEnd"/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różnorodnych akt spraw skierowanych do sądu w celu rozpoznania zażalenia na postanowienie prokuratora;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uczestnictwo</w:t>
      </w:r>
      <w:proofErr w:type="gramEnd"/>
      <w:r w:rsidR="0077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 posiedzeniach w przedmiocie rozpoznania zażaleń na postanowienia prokuratora </w:t>
      </w:r>
      <w:r w:rsidR="00D131E1" w:rsidRPr="00077D8D">
        <w:rPr>
          <w:rFonts w:ascii="Times New Roman" w:eastAsia="Calibri" w:hAnsi="Times New Roman" w:cs="Times New Roman"/>
          <w:sz w:val="24"/>
          <w:szCs w:val="24"/>
        </w:rPr>
        <w:t>kończące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sporządzanie projektów orzeczeń sądu zapadających w związku z rozpoznaniem zażaleń na postanowienie prokuratora kończące postępowanie </w:t>
      </w:r>
      <w:proofErr w:type="gramStart"/>
      <w:r w:rsidRPr="00077D8D">
        <w:rPr>
          <w:rFonts w:ascii="Times New Roman" w:eastAsia="Calibri" w:hAnsi="Times New Roman" w:cs="Times New Roman"/>
          <w:sz w:val="24"/>
          <w:szCs w:val="24"/>
        </w:rPr>
        <w:t>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>,</w:t>
      </w:r>
      <w:r w:rsidR="00EE63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a</w:t>
      </w:r>
      <w:proofErr w:type="gramEnd"/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następnie ich omówienie z sędzią przewodniczącym;</w:t>
      </w:r>
    </w:p>
    <w:p w:rsidR="00814B7D" w:rsidRPr="00296CD3" w:rsidRDefault="003C0125" w:rsidP="00296C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6CD3">
        <w:rPr>
          <w:rFonts w:ascii="Times New Roman" w:eastAsia="Calibri" w:hAnsi="Times New Roman" w:cs="Times New Roman"/>
          <w:sz w:val="24"/>
          <w:szCs w:val="24"/>
        </w:rPr>
        <w:t>analizę</w:t>
      </w:r>
      <w:proofErr w:type="gramEnd"/>
      <w:r w:rsidRPr="00296CD3">
        <w:rPr>
          <w:rFonts w:ascii="Times New Roman" w:eastAsia="Calibri" w:hAnsi="Times New Roman" w:cs="Times New Roman"/>
          <w:sz w:val="24"/>
          <w:szCs w:val="24"/>
        </w:rPr>
        <w:t xml:space="preserve"> różnorodnych akt spraw pod kątem wykorzystania kartotek i zewnętrznych baz danych oraz czynności operacyjno-rozpoznawczych</w:t>
      </w:r>
      <w:r w:rsidR="00D131E1" w:rsidRPr="00296CD3">
        <w:rPr>
          <w:rFonts w:ascii="Times New Roman" w:eastAsia="Calibri" w:hAnsi="Times New Roman" w:cs="Times New Roman"/>
          <w:sz w:val="24"/>
          <w:szCs w:val="24"/>
        </w:rPr>
        <w:t xml:space="preserve"> dla potrzeb procesu karnego.</w:t>
      </w:r>
      <w:r w:rsidRPr="00296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0" w:rsidRPr="00077D8D" w:rsidRDefault="00AF32A0" w:rsidP="00077D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</w:t>
      </w:r>
      <w:r w:rsidR="00463747">
        <w:rPr>
          <w:rFonts w:ascii="Times New Roman" w:eastAsia="Calibri" w:hAnsi="Times New Roman" w:cs="Times New Roman"/>
          <w:sz w:val="24"/>
          <w:szCs w:val="24"/>
        </w:rPr>
        <w:t>alnego toku pracy patrona</w:t>
      </w:r>
      <w:r w:rsidRPr="00077D8D">
        <w:rPr>
          <w:rFonts w:ascii="Times New Roman" w:eastAsia="Calibri" w:hAnsi="Times New Roman" w:cs="Times New Roman"/>
          <w:sz w:val="24"/>
          <w:szCs w:val="24"/>
        </w:rPr>
        <w:t>,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077D8D">
        <w:rPr>
          <w:rFonts w:ascii="Times New Roman" w:eastAsia="Calibri" w:hAnsi="Times New Roman" w:cs="Times New Roman"/>
          <w:sz w:val="24"/>
          <w:szCs w:val="24"/>
        </w:rPr>
        <w:t>dotychczas jesz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cze się nie zetknęli lub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 których nie uczestniczyli.</w:t>
      </w: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15C24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4637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4B06E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747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A0B1F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w przedmiocie zasadności zażalenia na postanowienie kończące postępowanie przygotowawcze lub projektu postanowienia o uwzględnieniu zażalenia</w:t>
      </w:r>
      <w:r w:rsidR="002B5BB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FFD" w:rsidRPr="00077D8D" w:rsidRDefault="00660FFD" w:rsidP="00771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 w:rsidR="00952113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AD0D24" w:rsidRPr="00077D8D" w:rsidRDefault="00AD0D24" w:rsidP="00077D8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</w:t>
      </w:r>
      <w:proofErr w:type="gramStart"/>
      <w:r w:rsidRPr="00FA4AAD">
        <w:rPr>
          <w:rFonts w:ascii="Garamond" w:eastAsia="Calibri" w:hAnsi="Garamond" w:cs="Times New Roman"/>
          <w:b/>
          <w:sz w:val="24"/>
          <w:szCs w:val="24"/>
        </w:rPr>
        <w:t>w</w:t>
      </w:r>
      <w:proofErr w:type="gramEnd"/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  <w:r w:rsidR="00463747">
        <w:rPr>
          <w:rFonts w:ascii="Garamond" w:eastAsia="Calibri" w:hAnsi="Garamond" w:cs="Times New Roman"/>
          <w:b/>
          <w:sz w:val="24"/>
          <w:szCs w:val="24"/>
        </w:rPr>
        <w:t xml:space="preserve">                </w:t>
      </w:r>
      <w:r w:rsidR="00463747">
        <w:rPr>
          <w:rFonts w:ascii="Monotype Corsiva" w:eastAsia="Calibri" w:hAnsi="Monotype Corsiva" w:cs="Times New Roman"/>
          <w:b/>
          <w:sz w:val="24"/>
          <w:szCs w:val="24"/>
        </w:rPr>
        <w:t>Marta Zin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FD" w:rsidRDefault="00EC19FD">
      <w:pPr>
        <w:spacing w:after="0" w:line="240" w:lineRule="auto"/>
      </w:pPr>
      <w:r>
        <w:separator/>
      </w:r>
    </w:p>
  </w:endnote>
  <w:endnote w:type="continuationSeparator" w:id="0">
    <w:p w:rsidR="00EC19FD" w:rsidRDefault="00E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FD" w:rsidRDefault="00EC19FD">
      <w:pPr>
        <w:spacing w:after="0" w:line="240" w:lineRule="auto"/>
      </w:pPr>
      <w:r>
        <w:separator/>
      </w:r>
    </w:p>
  </w:footnote>
  <w:footnote w:type="continuationSeparator" w:id="0">
    <w:p w:rsidR="00EC19FD" w:rsidRDefault="00E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Default="00DB7AE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E4356">
      <w:rPr>
        <w:noProof/>
      </w:rPr>
      <w:t>3</w:t>
    </w:r>
    <w:r>
      <w:fldChar w:fldCharType="end"/>
    </w:r>
  </w:p>
  <w:p w:rsidR="00DB7AEA" w:rsidRDefault="00DB7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Pr="00162921" w:rsidRDefault="00DB7AEA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DB7AEA" w:rsidRDefault="00DB7AEA">
    <w:pPr>
      <w:pStyle w:val="Nagwek"/>
    </w:pPr>
  </w:p>
  <w:p w:rsidR="00DB7AEA" w:rsidRDefault="00DB7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776E4"/>
    <w:multiLevelType w:val="hybridMultilevel"/>
    <w:tmpl w:val="92901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5F96A21"/>
    <w:multiLevelType w:val="hybridMultilevel"/>
    <w:tmpl w:val="C84ECFF6"/>
    <w:lvl w:ilvl="0" w:tplc="754EC1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55D7E"/>
    <w:multiLevelType w:val="hybridMultilevel"/>
    <w:tmpl w:val="D47E64CC"/>
    <w:lvl w:ilvl="0" w:tplc="3B8E3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42198"/>
    <w:rsid w:val="00077D8D"/>
    <w:rsid w:val="00087100"/>
    <w:rsid w:val="000A4A67"/>
    <w:rsid w:val="000B1D32"/>
    <w:rsid w:val="000B1D88"/>
    <w:rsid w:val="000B4076"/>
    <w:rsid w:val="000C2D0B"/>
    <w:rsid w:val="000D0A1F"/>
    <w:rsid w:val="001014A7"/>
    <w:rsid w:val="00102347"/>
    <w:rsid w:val="00111B0F"/>
    <w:rsid w:val="00141D73"/>
    <w:rsid w:val="0018676A"/>
    <w:rsid w:val="001C142B"/>
    <w:rsid w:val="001D09AB"/>
    <w:rsid w:val="001D1A57"/>
    <w:rsid w:val="002135D5"/>
    <w:rsid w:val="00226E59"/>
    <w:rsid w:val="002426F2"/>
    <w:rsid w:val="002441CF"/>
    <w:rsid w:val="00270932"/>
    <w:rsid w:val="00276E4C"/>
    <w:rsid w:val="00280C11"/>
    <w:rsid w:val="0029196C"/>
    <w:rsid w:val="002960B4"/>
    <w:rsid w:val="00296CD3"/>
    <w:rsid w:val="00297974"/>
    <w:rsid w:val="002B462C"/>
    <w:rsid w:val="002B5BB6"/>
    <w:rsid w:val="00305A26"/>
    <w:rsid w:val="00306294"/>
    <w:rsid w:val="0031196E"/>
    <w:rsid w:val="0032252A"/>
    <w:rsid w:val="00323E7C"/>
    <w:rsid w:val="00330EE2"/>
    <w:rsid w:val="00341C15"/>
    <w:rsid w:val="003451DD"/>
    <w:rsid w:val="0034555D"/>
    <w:rsid w:val="00371E39"/>
    <w:rsid w:val="00383BEA"/>
    <w:rsid w:val="003903D3"/>
    <w:rsid w:val="00392456"/>
    <w:rsid w:val="003B5E95"/>
    <w:rsid w:val="003C0125"/>
    <w:rsid w:val="004011E8"/>
    <w:rsid w:val="00425330"/>
    <w:rsid w:val="00432079"/>
    <w:rsid w:val="00462A66"/>
    <w:rsid w:val="00463747"/>
    <w:rsid w:val="00496E5E"/>
    <w:rsid w:val="004A33F9"/>
    <w:rsid w:val="004B06E6"/>
    <w:rsid w:val="004B6836"/>
    <w:rsid w:val="004D1D3C"/>
    <w:rsid w:val="004D7A28"/>
    <w:rsid w:val="004E4057"/>
    <w:rsid w:val="004E5462"/>
    <w:rsid w:val="00506E46"/>
    <w:rsid w:val="005155C4"/>
    <w:rsid w:val="005307D9"/>
    <w:rsid w:val="00577B26"/>
    <w:rsid w:val="00581AEC"/>
    <w:rsid w:val="0059112A"/>
    <w:rsid w:val="005A3E2F"/>
    <w:rsid w:val="005B78C8"/>
    <w:rsid w:val="005D0C5A"/>
    <w:rsid w:val="005F5C80"/>
    <w:rsid w:val="0061171D"/>
    <w:rsid w:val="00624ED6"/>
    <w:rsid w:val="0065031F"/>
    <w:rsid w:val="00651363"/>
    <w:rsid w:val="00655C39"/>
    <w:rsid w:val="00660FFD"/>
    <w:rsid w:val="00682FD1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3647"/>
    <w:rsid w:val="00735F0A"/>
    <w:rsid w:val="007576E7"/>
    <w:rsid w:val="0076538D"/>
    <w:rsid w:val="00770954"/>
    <w:rsid w:val="00771979"/>
    <w:rsid w:val="00772F9C"/>
    <w:rsid w:val="007817C5"/>
    <w:rsid w:val="00793115"/>
    <w:rsid w:val="00797033"/>
    <w:rsid w:val="007B386C"/>
    <w:rsid w:val="007F3B02"/>
    <w:rsid w:val="00805A2C"/>
    <w:rsid w:val="00814B7D"/>
    <w:rsid w:val="00824091"/>
    <w:rsid w:val="008536E1"/>
    <w:rsid w:val="008545B5"/>
    <w:rsid w:val="00861382"/>
    <w:rsid w:val="008665FC"/>
    <w:rsid w:val="008724D4"/>
    <w:rsid w:val="00897131"/>
    <w:rsid w:val="008A7FC4"/>
    <w:rsid w:val="008B43E9"/>
    <w:rsid w:val="008E2680"/>
    <w:rsid w:val="00952113"/>
    <w:rsid w:val="00985EB3"/>
    <w:rsid w:val="00997F60"/>
    <w:rsid w:val="009A1EAD"/>
    <w:rsid w:val="009A675C"/>
    <w:rsid w:val="009D48A8"/>
    <w:rsid w:val="009E14D6"/>
    <w:rsid w:val="009E6880"/>
    <w:rsid w:val="00A044E7"/>
    <w:rsid w:val="00A06988"/>
    <w:rsid w:val="00A31B67"/>
    <w:rsid w:val="00A32FA2"/>
    <w:rsid w:val="00A34C42"/>
    <w:rsid w:val="00A712CA"/>
    <w:rsid w:val="00A86044"/>
    <w:rsid w:val="00A96158"/>
    <w:rsid w:val="00AA1060"/>
    <w:rsid w:val="00AB3419"/>
    <w:rsid w:val="00AD0D24"/>
    <w:rsid w:val="00AE6E2C"/>
    <w:rsid w:val="00AF32A0"/>
    <w:rsid w:val="00AF40F4"/>
    <w:rsid w:val="00B114CD"/>
    <w:rsid w:val="00B53A8C"/>
    <w:rsid w:val="00B73A88"/>
    <w:rsid w:val="00B849C1"/>
    <w:rsid w:val="00B957F0"/>
    <w:rsid w:val="00B96AF5"/>
    <w:rsid w:val="00BA0B1F"/>
    <w:rsid w:val="00BA3AB1"/>
    <w:rsid w:val="00BE70E3"/>
    <w:rsid w:val="00BE7D39"/>
    <w:rsid w:val="00C26FEA"/>
    <w:rsid w:val="00C417AC"/>
    <w:rsid w:val="00C61EA0"/>
    <w:rsid w:val="00C628F0"/>
    <w:rsid w:val="00C75B8E"/>
    <w:rsid w:val="00CB543D"/>
    <w:rsid w:val="00D03B3A"/>
    <w:rsid w:val="00D131E1"/>
    <w:rsid w:val="00D15070"/>
    <w:rsid w:val="00D33685"/>
    <w:rsid w:val="00D5720A"/>
    <w:rsid w:val="00D8021C"/>
    <w:rsid w:val="00D8221F"/>
    <w:rsid w:val="00D83F9F"/>
    <w:rsid w:val="00D85949"/>
    <w:rsid w:val="00D85FEB"/>
    <w:rsid w:val="00D862B5"/>
    <w:rsid w:val="00D94B60"/>
    <w:rsid w:val="00DB7AEA"/>
    <w:rsid w:val="00DC3CDB"/>
    <w:rsid w:val="00DC4748"/>
    <w:rsid w:val="00DD6123"/>
    <w:rsid w:val="00DD7D15"/>
    <w:rsid w:val="00DE256F"/>
    <w:rsid w:val="00DE7A5F"/>
    <w:rsid w:val="00DF782C"/>
    <w:rsid w:val="00E12551"/>
    <w:rsid w:val="00E371D9"/>
    <w:rsid w:val="00E63EA6"/>
    <w:rsid w:val="00E74B2E"/>
    <w:rsid w:val="00E90CA6"/>
    <w:rsid w:val="00EC19FD"/>
    <w:rsid w:val="00EC497A"/>
    <w:rsid w:val="00EE3FA0"/>
    <w:rsid w:val="00EE635D"/>
    <w:rsid w:val="00F00354"/>
    <w:rsid w:val="00F103F8"/>
    <w:rsid w:val="00F15C24"/>
    <w:rsid w:val="00F24341"/>
    <w:rsid w:val="00F374BE"/>
    <w:rsid w:val="00F37C2B"/>
    <w:rsid w:val="00F37D86"/>
    <w:rsid w:val="00F50F49"/>
    <w:rsid w:val="00F75086"/>
    <w:rsid w:val="00F825E9"/>
    <w:rsid w:val="00F970D3"/>
    <w:rsid w:val="00FA3E0E"/>
    <w:rsid w:val="00FA4FDF"/>
    <w:rsid w:val="00FA57EF"/>
    <w:rsid w:val="00FB4F20"/>
    <w:rsid w:val="00FC313B"/>
    <w:rsid w:val="00FD5509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2018-11-22T10:58:00Z</cp:lastPrinted>
  <dcterms:created xsi:type="dcterms:W3CDTF">2020-02-13T11:14:00Z</dcterms:created>
  <dcterms:modified xsi:type="dcterms:W3CDTF">2020-02-13T11:14:00Z</dcterms:modified>
</cp:coreProperties>
</file>