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D" w:rsidRPr="00B7498B" w:rsidRDefault="00804273" w:rsidP="0011248C">
      <w:pPr>
        <w:spacing w:before="120"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04273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OAP-II.420.14.2020</w:t>
      </w:r>
      <w:r w:rsidR="00D2460D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3F6D8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 xml:space="preserve">Kraków, dnia </w:t>
      </w:r>
      <w:r w:rsidR="00A23038">
        <w:rPr>
          <w:rFonts w:ascii="Times New Roman" w:eastAsia="Calibri" w:hAnsi="Times New Roman" w:cs="Times New Roman"/>
          <w:sz w:val="24"/>
          <w:szCs w:val="24"/>
        </w:rPr>
        <w:t>10 września 2020</w:t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2460D" w:rsidRPr="00B7498B" w:rsidRDefault="00D2460D" w:rsidP="00D8642A">
      <w:pPr>
        <w:spacing w:before="720" w:after="72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D2460D" w:rsidRPr="00B7498B" w:rsidRDefault="00D2460D" w:rsidP="0011248C">
      <w:pPr>
        <w:spacing w:before="120" w:after="1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11248C"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A23038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11248C"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VI zjeździe</w:t>
      </w:r>
    </w:p>
    <w:p w:rsidR="00D2460D" w:rsidRPr="00B7498B" w:rsidRDefault="00D2460D" w:rsidP="0011248C">
      <w:pPr>
        <w:spacing w:before="120" w:after="1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2460D" w:rsidRPr="00B7498B" w:rsidRDefault="006A6A4A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sz w:val="24"/>
          <w:szCs w:val="24"/>
        </w:rPr>
        <w:t>Na podstawie § 2 zarządzenia Dyrektora Krajowej Szkoły Sądownictwa i Prokuratury w</w:t>
      </w:r>
      <w:r w:rsidR="000131DD">
        <w:rPr>
          <w:rFonts w:ascii="Times New Roman" w:eastAsia="Calibri" w:hAnsi="Times New Roman" w:cs="Times New Roman"/>
          <w:sz w:val="24"/>
          <w:szCs w:val="24"/>
        </w:rPr>
        <w:t> </w:t>
      </w:r>
      <w:r w:rsidRPr="00B7498B">
        <w:rPr>
          <w:rFonts w:ascii="Times New Roman" w:eastAsia="Calibri" w:hAnsi="Times New Roman" w:cs="Times New Roman"/>
          <w:sz w:val="24"/>
          <w:szCs w:val="24"/>
        </w:rPr>
        <w:t>Krakowie Nr 132/2019 z dnia 15 marca 2019 r</w:t>
      </w:r>
      <w:r w:rsidR="000131DD">
        <w:rPr>
          <w:rFonts w:ascii="Times New Roman" w:eastAsia="Calibri" w:hAnsi="Times New Roman" w:cs="Times New Roman"/>
          <w:sz w:val="24"/>
          <w:szCs w:val="24"/>
        </w:rPr>
        <w:t>.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2F4">
        <w:rPr>
          <w:rFonts w:ascii="Times New Roman" w:eastAsia="Calibri" w:hAnsi="Times New Roman" w:cs="Times New Roman"/>
          <w:i/>
          <w:sz w:val="24"/>
          <w:szCs w:val="24"/>
        </w:rPr>
        <w:t>w sprawie szczegółowych zasad odbywania praktyk przez aplikantów aplikacji sędziowskiej i prokuratorskiej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uprzejmie przedstawiam szczegółowy zakres tematyczny, który winien być przedmiotem praktyk aplikantów aplikacji prokuratorskiej</w:t>
      </w:r>
      <w:r w:rsidR="003342F4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odbywanych od </w:t>
      </w:r>
      <w:r w:rsidR="00A23038">
        <w:rPr>
          <w:rFonts w:ascii="Times New Roman" w:eastAsia="Calibri" w:hAnsi="Times New Roman" w:cs="Times New Roman"/>
          <w:sz w:val="24"/>
          <w:szCs w:val="24"/>
        </w:rPr>
        <w:t>19 październik</w:t>
      </w:r>
      <w:r w:rsidRPr="00B7498B">
        <w:rPr>
          <w:rFonts w:ascii="Times New Roman" w:eastAsia="Calibri" w:hAnsi="Times New Roman" w:cs="Times New Roman"/>
          <w:sz w:val="24"/>
          <w:szCs w:val="24"/>
        </w:rPr>
        <w:t>a</w:t>
      </w:r>
      <w:r w:rsidR="00A23038">
        <w:rPr>
          <w:rFonts w:ascii="Times New Roman" w:eastAsia="Calibri" w:hAnsi="Times New Roman" w:cs="Times New Roman"/>
          <w:sz w:val="24"/>
          <w:szCs w:val="24"/>
        </w:rPr>
        <w:t xml:space="preserve"> do 6 listopada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04273">
        <w:rPr>
          <w:rFonts w:ascii="Times New Roman" w:eastAsia="Calibri" w:hAnsi="Times New Roman" w:cs="Times New Roman"/>
          <w:sz w:val="24"/>
          <w:szCs w:val="24"/>
        </w:rPr>
        <w:t>20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r. w prokuraturach rejonowych (</w:t>
      </w:r>
      <w:r w:rsidR="00247567" w:rsidRPr="00B7498B">
        <w:rPr>
          <w:rFonts w:ascii="Times New Roman" w:eastAsia="Calibri" w:hAnsi="Times New Roman" w:cs="Times New Roman"/>
          <w:sz w:val="24"/>
          <w:szCs w:val="24"/>
        </w:rPr>
        <w:t>3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tygodnie).</w:t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60D" w:rsidRPr="00B7498B" w:rsidRDefault="00D2460D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</w:t>
      </w:r>
      <w:r w:rsidR="00247567" w:rsidRPr="00B7498B">
        <w:rPr>
          <w:rFonts w:ascii="Times New Roman" w:eastAsia="Calibri" w:hAnsi="Times New Roman" w:cs="Times New Roman"/>
          <w:sz w:val="24"/>
          <w:szCs w:val="24"/>
        </w:rPr>
        <w:t>ego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ją zjazdu. </w:t>
      </w:r>
    </w:p>
    <w:p w:rsidR="00D2460D" w:rsidRPr="00B7498B" w:rsidRDefault="00D2460D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sz w:val="24"/>
          <w:szCs w:val="24"/>
        </w:rPr>
        <w:t>Przedmiotem V</w:t>
      </w:r>
      <w:r w:rsidR="00247567" w:rsidRPr="00B7498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t xml:space="preserve"> zjazdu </w:t>
      </w:r>
      <w:r w:rsidR="007610E2">
        <w:rPr>
          <w:rFonts w:ascii="Times New Roman" w:eastAsia="Calibri" w:hAnsi="Times New Roman" w:cs="Times New Roman"/>
          <w:b/>
          <w:sz w:val="24"/>
          <w:szCs w:val="24"/>
        </w:rPr>
        <w:t xml:space="preserve">11. rocznika 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t>aplikacji prokuratorskiej</w:t>
      </w:r>
      <w:r w:rsidR="00C6575D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038">
        <w:rPr>
          <w:rFonts w:ascii="Times New Roman" w:eastAsia="Calibri" w:hAnsi="Times New Roman" w:cs="Times New Roman"/>
          <w:sz w:val="24"/>
          <w:szCs w:val="24"/>
        </w:rPr>
        <w:t>który odbył się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610E2">
        <w:rPr>
          <w:rFonts w:ascii="Times New Roman" w:eastAsia="Calibri" w:hAnsi="Times New Roman" w:cs="Times New Roman"/>
          <w:sz w:val="24"/>
          <w:szCs w:val="24"/>
        </w:rPr>
        <w:t> 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dniach </w:t>
      </w:r>
      <w:r w:rsidR="00A23038" w:rsidRPr="00A23038">
        <w:rPr>
          <w:rFonts w:ascii="Times New Roman" w:eastAsia="Calibri" w:hAnsi="Times New Roman" w:cs="Times New Roman"/>
          <w:sz w:val="24"/>
          <w:szCs w:val="24"/>
        </w:rPr>
        <w:t>4 – 15 maja 2020 r.</w:t>
      </w:r>
      <w:r w:rsidR="00C6575D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038">
        <w:rPr>
          <w:rFonts w:ascii="Times New Roman" w:eastAsia="Calibri" w:hAnsi="Times New Roman" w:cs="Times New Roman"/>
          <w:b/>
          <w:sz w:val="24"/>
          <w:szCs w:val="24"/>
        </w:rPr>
        <w:t>było</w:t>
      </w:r>
      <w:r w:rsidR="006A6A4A" w:rsidRPr="00B7498B">
        <w:rPr>
          <w:rFonts w:ascii="Times New Roman" w:eastAsia="Calibri" w:hAnsi="Times New Roman" w:cs="Times New Roman"/>
          <w:b/>
          <w:sz w:val="24"/>
          <w:szCs w:val="24"/>
        </w:rPr>
        <w:t xml:space="preserve"> w szczególności</w:t>
      </w:r>
      <w:r w:rsidRPr="00B749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6A4A" w:rsidRPr="00A23038" w:rsidRDefault="002B7336" w:rsidP="00A23038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3038">
        <w:rPr>
          <w:rFonts w:ascii="Times New Roman" w:eastAsia="Calibri" w:hAnsi="Times New Roman" w:cs="Times New Roman"/>
          <w:b/>
          <w:i/>
          <w:sz w:val="24"/>
          <w:szCs w:val="24"/>
        </w:rPr>
        <w:t>p</w:t>
      </w:r>
      <w:r w:rsidR="006A6A4A" w:rsidRPr="00A23038">
        <w:rPr>
          <w:rFonts w:ascii="Times New Roman" w:eastAsia="Calibri" w:hAnsi="Times New Roman" w:cs="Times New Roman"/>
          <w:b/>
          <w:i/>
          <w:sz w:val="24"/>
          <w:szCs w:val="24"/>
        </w:rPr>
        <w:t>rawo karne procesowe</w:t>
      </w:r>
      <w:r w:rsidR="006A6A4A" w:rsidRPr="00A2303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A23038" w:rsidRPr="00A23038">
        <w:rPr>
          <w:rFonts w:ascii="Times New Roman" w:eastAsia="Calibri" w:hAnsi="Times New Roman" w:cs="Times New Roman"/>
          <w:i/>
          <w:sz w:val="24"/>
          <w:szCs w:val="24"/>
        </w:rPr>
        <w:t>Kontynuacja zajęć z zakresu form postępowania przygotowawczego: śledztwo, dochodzenie. Czynnośc</w:t>
      </w:r>
      <w:r w:rsidR="007610E2">
        <w:rPr>
          <w:rFonts w:ascii="Times New Roman" w:eastAsia="Calibri" w:hAnsi="Times New Roman" w:cs="Times New Roman"/>
          <w:i/>
          <w:sz w:val="24"/>
          <w:szCs w:val="24"/>
        </w:rPr>
        <w:t>i zastrzeżone dla prokuratora w </w:t>
      </w:r>
      <w:r w:rsidR="00A23038" w:rsidRPr="00A23038">
        <w:rPr>
          <w:rFonts w:ascii="Times New Roman" w:eastAsia="Calibri" w:hAnsi="Times New Roman" w:cs="Times New Roman"/>
          <w:i/>
          <w:sz w:val="24"/>
          <w:szCs w:val="24"/>
        </w:rPr>
        <w:t>śledztwie. Środki zapobiegawcze stosowane przez prokuratora. Kary porządkowe. Tymczasowe zajęcie mienia. Zabezpieczenie majątkowe.</w:t>
      </w:r>
    </w:p>
    <w:p w:rsidR="00DE2BB4" w:rsidRPr="00A23038" w:rsidRDefault="00D2460D" w:rsidP="00A23038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3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Patroni praktyk winni zatem zadbać, aby aplikanci w pierwszej kolejności </w:t>
      </w:r>
      <w:r w:rsidR="00A23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wykonywali czynności</w:t>
      </w:r>
      <w:r w:rsidR="006A6A4A" w:rsidRPr="00A23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 kątem</w:t>
      </w:r>
      <w:r w:rsidR="00DE2BB4" w:rsidRPr="00A23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oceny prawidłowości zastosowania tymczasowego zajęcia mienia ruchomego (art. 295 k.p.k.)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gromadzenia i oceny dokumentacji procesowej wskazującej na zabezpieczenie mienia ruchomego lub dokumentującej poszukiwanie i ujawnianie składników majątkowych podejrzanego (bazy danych, wypisy z ksiąg wieczystych, akty notarialne, dokumentacja bankowa itd.),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analizy materiałów zebranych w toku postępowania przygotowawczego celem ustalenia, czy istnieją przesłanki do wydania postanowienia o zabezpieczeniu majątkowym (art. 291 k.p.k.), a także analiza akt w zakresie sposobu zabezpieczenia (art. 292 k.p.k.),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sporządzania postanowień o zabezpieczeniu majątkowym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szczególnym uwzględnieniem właściwego określania zakresu kwotowego i sposobu zabezpieczenia 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</w:t>
      </w:r>
      <w:r w:rsidR="00CE327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293 § 2 k.p.k.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uzasadniania decyzji, a także podkreśleniem znaczenia zmian ustawodawczych zarówno w odniesieniu do zakresu i przedmiotu zabezpieczenia, jak i 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trybu wykonania decyzji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sporządzania notatki analitycznej uzasadniającej stanowisko o braku podstaw lub konieczności zastosowania zabezpieczenia majątkowego – w całości lub w określonej formie,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oceny zasadności zażaleń na postanowienia prokuratora o zastosowaniu zabezpieczenia majątkowego,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 materiałów zebranych w toku postępowania przygotowawczego, w którym zastosowano zabezpieczenie majątkowe, pod kątem potrzeby uchylenia decyzji w całości lub części (art. 291 § 4 k.p.k.),</w:t>
      </w:r>
    </w:p>
    <w:p w:rsidR="0011248C" w:rsidRPr="006E7600" w:rsidRDefault="0011248C" w:rsidP="0011248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nadto:</w:t>
      </w:r>
    </w:p>
    <w:p w:rsidR="003F6D8D" w:rsidRPr="006E7600" w:rsidRDefault="003F6D8D" w:rsidP="0011248C">
      <w:pPr>
        <w:pStyle w:val="Akapitzlist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oceny </w:t>
      </w:r>
      <w:r w:rsidR="00B331D7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zasadności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stosowania środków zapobiegawczych i wyboru właściwego środka z uwagi na zdiagnozowane zagrożenia dla prawidłowości biegu postępowania przygotowawczego,</w:t>
      </w:r>
    </w:p>
    <w:p w:rsidR="00DE2BB4" w:rsidRPr="006E7600" w:rsidRDefault="00DE2BB4" w:rsidP="0011248C">
      <w:pPr>
        <w:pStyle w:val="Akapitzlist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nia się z obowiązującymi schematami decyzji o stosowaniu wolnościowych środków zapobiegawczych, z uwzględnieniem możliwości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ich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łączenia,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opracowywania postanowień o zastosowaniu środków zapobiegawczych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w tym poręczeni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majątkow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ego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266 k.p.k.), poręczenia społecznego (art. 271 k.p.k.), porę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czenia osoby godnej zaufania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(art. 272 k.p.k.), dozoru Policji (art.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275 k.p.k.), nakazu opuszczenia lokalu mieszkalnego (art. 275a k.p.k.), zawieszenia w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czynnościach (art. 276 k.p.k.), zakazu opuszczania kraju (art. 277 k.p.k.), 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uzasadni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nia tych decyzji – zarówno w warstwie zasadności zastosowania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jak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wyboru konkretnego środka, tak 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uzasadnienie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sprowadzało się wyłącznie do powtórzenia tekstu ustawy ( art. 251 § 3 k.p.k.),</w:t>
      </w:r>
    </w:p>
    <w:p w:rsidR="00DE2BB4" w:rsidRPr="006E7600" w:rsidRDefault="00C544AB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 zasadności zażaleń na postanowienia prokuratora o zastosowaniu środków zapobiegawczych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analizy 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zebranych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materiałów pod kątem potrzeby zmiany lub uchylenia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środka zapobiegawczego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253 k.p.k.),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opracowania decyzji o odmowie uwzględnienia wniosku w przedmiocie uchylenia lub zmiany środka zapobiegawczego, w tym także – decyzji częściowo uwzględniającej wniosek</w:t>
      </w:r>
      <w:r w:rsidR="000333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 254 </w:t>
      </w:r>
      <w:r w:rsidR="000333C7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k.p.k.)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doręczania ww. postanowień odpowiednim instytucjom, a w tym: pracodawcy, właściwemu organowi samorządu zawodowego albo instytucj</w:t>
      </w:r>
      <w:r w:rsidR="006E12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i, Komendzie Głównej Policji (§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198 Regulaminu), Komendzie Głównej Straży Granicznej (§ 197 Regulaminu),</w:t>
      </w:r>
    </w:p>
    <w:p w:rsidR="0011248C" w:rsidRPr="00B7498B" w:rsidRDefault="0011248C" w:rsidP="006E7600">
      <w:pPr>
        <w:keepNext/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oraz:</w:t>
      </w:r>
    </w:p>
    <w:p w:rsidR="00C21B59" w:rsidRPr="006E7600" w:rsidRDefault="003F6D8D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 materiałów zebranych w toku postępowania przygotowawczego celem ustalenia, czy istnieją przesłanki do wydania postanowienia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nałożeniu na świadka, biegłego, tłumacza lub specjalistę kary pieniężnej (art. 285 k.p.k.)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 o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uchyleni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takiej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kary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286 k.p.k.)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sporządzani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takich postanowień wraz z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uzasadnieniem,</w:t>
      </w:r>
    </w:p>
    <w:p w:rsidR="00DE2BB4" w:rsidRPr="006E7600" w:rsidRDefault="003F6D8D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oceny zasadności zażaleń na postanowienia prokuratora o nałożeniu kary pieniężnej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E2BB4" w:rsidRPr="00B7498B" w:rsidRDefault="00DE2BB4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powyższych czynności aplikantom należy zwracać uwagę nie tylko na przepisy Kodeksu postępowania karnego i oparte na nich orzecznictwo, ale również na zasady wynikające z Regulaminu wewnętrznego urzędowania powszechnych jednostek organizacyjnych prokuratury oraz wytycznych i pism instrukcyjnych. W szczególności w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 zasad stosowania zabezpieczenia majątkowego należy omówić z aplikantami, na konkretnych przykładach, praktyczne uwarunkowania wynikające z takich wytycznych i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poleceń dla poszczególnych rodzajów przestępstw, a także przedstawić uzgodnienia z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kooperantami procesowymi co do sposobu realizacji polecenia gromadzenia informacji o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majątkowym osób na etapie przed formalnym przedstawieniem zarzutu.</w:t>
      </w:r>
    </w:p>
    <w:p w:rsidR="007B706A" w:rsidRDefault="007B706A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może służyć to realizacji celu praktyk, aplikanci powinni móc pracować także na aktach spraw, którymi ich patron się nie zajmuje</w:t>
      </w:r>
      <w:r w:rsidR="00101C38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na aktach spraw zakończonych.</w:t>
      </w:r>
    </w:p>
    <w:p w:rsidR="002C6236" w:rsidRPr="00B7498B" w:rsidRDefault="002C6236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36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powyższego Patroni proszeni są o umożliwienie aplikantom udziału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C6236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rozprawach i posiedzeniach sądu, a także w oględzinach miejsca zdarzenia.</w:t>
      </w:r>
    </w:p>
    <w:p w:rsidR="00DE2BB4" w:rsidRPr="00B7498B" w:rsidRDefault="00DE2BB4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zalecenia nie eliminują możliwości wykonywania przez aplikantów innych zadań wynikających z bieżącego funkcjonowania prokuratury. 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one jednak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przeważa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praktyki.</w:t>
      </w:r>
    </w:p>
    <w:p w:rsidR="00D2460D" w:rsidRPr="00B7498B" w:rsidRDefault="00D2460D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sprawdzianu, który aplikanci będą pisać po odbyciu praktyk po V</w:t>
      </w:r>
      <w:r w:rsidR="00DE2BB4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 (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w dniu </w:t>
      </w:r>
      <w:r w:rsidR="00A230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listopada 2020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będzie </w:t>
      </w:r>
      <w:r w:rsidR="00DE2BB4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projektu postanowienia o zabezpieczeniu majątkowym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 umiejętność w jak najwyższym stopniu.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kolei 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 VII zjeździe (tj. 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101C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grudnia 2020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aplikanci będą pisać sprawdzian, którego przedmiotem 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być sporządzenie projektu postanowienia o zastosowaniu, uchyleniu lub zmianie środka zapobiegawczego</w:t>
      </w:r>
      <w:r w:rsidR="00630C9E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Także więc i na wykształcenie tej umiejętności powinien być położony nacisk. </w:t>
      </w:r>
    </w:p>
    <w:p w:rsidR="007610E2" w:rsidRDefault="007610E2" w:rsidP="007610E2">
      <w:pPr>
        <w:jc w:val="center"/>
        <w:rPr>
          <w:rFonts w:ascii="Garamond" w:eastAsia="Calibri" w:hAnsi="Garamond"/>
          <w:b/>
        </w:rPr>
      </w:pPr>
    </w:p>
    <w:p w:rsidR="007610E2" w:rsidRDefault="007610E2" w:rsidP="007610E2">
      <w:pPr>
        <w:jc w:val="center"/>
        <w:rPr>
          <w:rFonts w:ascii="Garamond" w:eastAsia="Calibri" w:hAnsi="Garamond"/>
          <w:b/>
        </w:rPr>
      </w:pPr>
    </w:p>
    <w:p w:rsidR="007610E2" w:rsidRPr="007610E2" w:rsidRDefault="007610E2" w:rsidP="007610E2">
      <w:pPr>
        <w:jc w:val="center"/>
        <w:rPr>
          <w:rFonts w:ascii="Garamond" w:eastAsia="Calibri" w:hAnsi="Garamond"/>
          <w:b/>
          <w:i/>
        </w:rPr>
      </w:pPr>
      <w:r w:rsidRPr="007610E2">
        <w:rPr>
          <w:rFonts w:ascii="Garamond" w:eastAsia="Calibri" w:hAnsi="Garamond"/>
          <w:b/>
          <w:i/>
        </w:rPr>
        <w:t>Kierownik Działu Dydaktycznego</w:t>
      </w:r>
    </w:p>
    <w:p w:rsidR="007610E2" w:rsidRPr="007610E2" w:rsidRDefault="007610E2" w:rsidP="007610E2">
      <w:pPr>
        <w:jc w:val="center"/>
        <w:rPr>
          <w:rFonts w:ascii="Garamond" w:eastAsia="Calibri" w:hAnsi="Garamond"/>
          <w:b/>
          <w:i/>
        </w:rPr>
      </w:pPr>
      <w:r w:rsidRPr="007610E2">
        <w:rPr>
          <w:rFonts w:ascii="Garamond" w:eastAsia="Calibri" w:hAnsi="Garamond"/>
          <w:b/>
          <w:i/>
        </w:rPr>
        <w:t>Ośrodka Aplikacji Prokuratorskiej</w:t>
      </w:r>
    </w:p>
    <w:p w:rsidR="007610E2" w:rsidRPr="007610E2" w:rsidRDefault="007610E2" w:rsidP="007610E2">
      <w:pPr>
        <w:jc w:val="center"/>
        <w:rPr>
          <w:rFonts w:ascii="Garamond" w:eastAsia="Calibri" w:hAnsi="Garamond"/>
          <w:b/>
          <w:i/>
        </w:rPr>
      </w:pPr>
      <w:r w:rsidRPr="007610E2">
        <w:rPr>
          <w:rFonts w:ascii="Garamond" w:eastAsia="Calibri" w:hAnsi="Garamond"/>
          <w:b/>
          <w:i/>
        </w:rPr>
        <w:t>Krajowej Szkoły Sądownictwa i Prokuratury</w:t>
      </w:r>
    </w:p>
    <w:p w:rsidR="007610E2" w:rsidRPr="007610E2" w:rsidRDefault="007610E2" w:rsidP="007610E2">
      <w:pPr>
        <w:jc w:val="center"/>
        <w:rPr>
          <w:rFonts w:ascii="Garamond" w:eastAsia="Calibri" w:hAnsi="Garamond"/>
          <w:b/>
          <w:i/>
        </w:rPr>
      </w:pPr>
    </w:p>
    <w:p w:rsidR="007610E2" w:rsidRPr="007610E2" w:rsidRDefault="007610E2" w:rsidP="007610E2">
      <w:pPr>
        <w:jc w:val="center"/>
        <w:rPr>
          <w:rFonts w:ascii="Garamond" w:eastAsia="Calibri" w:hAnsi="Garamond"/>
          <w:b/>
          <w:i/>
        </w:rPr>
      </w:pPr>
      <w:r w:rsidRPr="007610E2">
        <w:rPr>
          <w:rFonts w:ascii="Garamond" w:eastAsia="Calibri" w:hAnsi="Garamond"/>
          <w:b/>
          <w:i/>
        </w:rPr>
        <w:t xml:space="preserve">Marta Zin </w:t>
      </w:r>
    </w:p>
    <w:p w:rsidR="007610E2" w:rsidRPr="007610E2" w:rsidRDefault="007610E2" w:rsidP="007610E2">
      <w:pPr>
        <w:jc w:val="center"/>
        <w:rPr>
          <w:b/>
          <w:i/>
        </w:rPr>
      </w:pPr>
      <w:r w:rsidRPr="007610E2">
        <w:rPr>
          <w:rFonts w:ascii="Garamond" w:eastAsia="Calibri" w:hAnsi="Garamond"/>
          <w:b/>
          <w:i/>
        </w:rPr>
        <w:t>Prokurator</w:t>
      </w:r>
    </w:p>
    <w:p w:rsidR="000B4076" w:rsidRPr="00B7498B" w:rsidRDefault="000B4076" w:rsidP="00EE371E">
      <w:pPr>
        <w:spacing w:before="120" w:after="120"/>
        <w:jc w:val="center"/>
      </w:pPr>
    </w:p>
    <w:sectPr w:rsidR="000B4076" w:rsidRPr="00B7498B" w:rsidSect="00F129C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2A" w:rsidRDefault="00D9142A">
      <w:pPr>
        <w:spacing w:after="0" w:line="240" w:lineRule="auto"/>
      </w:pPr>
      <w:r>
        <w:separator/>
      </w:r>
    </w:p>
  </w:endnote>
  <w:endnote w:type="continuationSeparator" w:id="0">
    <w:p w:rsidR="00D9142A" w:rsidRDefault="00D9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96205"/>
      <w:docPartObj>
        <w:docPartGallery w:val="Page Numbers (Bottom of Page)"/>
        <w:docPartUnique/>
      </w:docPartObj>
    </w:sdtPr>
    <w:sdtEndPr/>
    <w:sdtContent>
      <w:p w:rsidR="00300812" w:rsidRDefault="00300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DA7">
          <w:rPr>
            <w:noProof/>
          </w:rPr>
          <w:t>3</w:t>
        </w:r>
        <w:r>
          <w:fldChar w:fldCharType="end"/>
        </w:r>
      </w:p>
    </w:sdtContent>
  </w:sdt>
  <w:p w:rsidR="00300812" w:rsidRDefault="00300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2A" w:rsidRDefault="00D9142A">
      <w:pPr>
        <w:spacing w:after="0" w:line="240" w:lineRule="auto"/>
      </w:pPr>
      <w:r>
        <w:separator/>
      </w:r>
    </w:p>
  </w:footnote>
  <w:footnote w:type="continuationSeparator" w:id="0">
    <w:p w:rsidR="00D9142A" w:rsidRDefault="00D9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EC4C82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3E5017" wp14:editId="14938149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D9142A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D9142A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EC4C82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EC4C82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D9142A">
    <w:pPr>
      <w:pStyle w:val="Nagwek"/>
    </w:pPr>
  </w:p>
  <w:p w:rsidR="00162921" w:rsidRDefault="00D91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D4"/>
    <w:multiLevelType w:val="hybridMultilevel"/>
    <w:tmpl w:val="1C7AD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DC1EC2"/>
    <w:multiLevelType w:val="hybridMultilevel"/>
    <w:tmpl w:val="5754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55C2"/>
    <w:multiLevelType w:val="hybridMultilevel"/>
    <w:tmpl w:val="7F00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0D"/>
    <w:rsid w:val="000131DD"/>
    <w:rsid w:val="00026D27"/>
    <w:rsid w:val="000333C7"/>
    <w:rsid w:val="000453C8"/>
    <w:rsid w:val="000978EA"/>
    <w:rsid w:val="000B4076"/>
    <w:rsid w:val="00101C38"/>
    <w:rsid w:val="0011248C"/>
    <w:rsid w:val="00247567"/>
    <w:rsid w:val="002B5BB1"/>
    <w:rsid w:val="002B7336"/>
    <w:rsid w:val="002C6236"/>
    <w:rsid w:val="00300812"/>
    <w:rsid w:val="00301DBD"/>
    <w:rsid w:val="003342F4"/>
    <w:rsid w:val="003C3051"/>
    <w:rsid w:val="003F6D8D"/>
    <w:rsid w:val="00497C09"/>
    <w:rsid w:val="004A1DCD"/>
    <w:rsid w:val="004F70B0"/>
    <w:rsid w:val="00630C9E"/>
    <w:rsid w:val="006A6A4A"/>
    <w:rsid w:val="006E12FB"/>
    <w:rsid w:val="006E7600"/>
    <w:rsid w:val="007610E2"/>
    <w:rsid w:val="007B706A"/>
    <w:rsid w:val="007E4DA7"/>
    <w:rsid w:val="00804273"/>
    <w:rsid w:val="00826FF2"/>
    <w:rsid w:val="00864211"/>
    <w:rsid w:val="008C47E2"/>
    <w:rsid w:val="00A23038"/>
    <w:rsid w:val="00AF30B3"/>
    <w:rsid w:val="00B331D7"/>
    <w:rsid w:val="00B7498B"/>
    <w:rsid w:val="00BA15D8"/>
    <w:rsid w:val="00BB65DA"/>
    <w:rsid w:val="00C21B59"/>
    <w:rsid w:val="00C544AB"/>
    <w:rsid w:val="00C6575D"/>
    <w:rsid w:val="00C931F9"/>
    <w:rsid w:val="00CE3279"/>
    <w:rsid w:val="00D1637E"/>
    <w:rsid w:val="00D2460D"/>
    <w:rsid w:val="00D31558"/>
    <w:rsid w:val="00D4615C"/>
    <w:rsid w:val="00D70836"/>
    <w:rsid w:val="00D8642A"/>
    <w:rsid w:val="00D9142A"/>
    <w:rsid w:val="00DE2BB4"/>
    <w:rsid w:val="00E8414A"/>
    <w:rsid w:val="00EC4C82"/>
    <w:rsid w:val="00EE371E"/>
    <w:rsid w:val="00F139A9"/>
    <w:rsid w:val="00FB5DC3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6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246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2B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12"/>
  </w:style>
  <w:style w:type="paragraph" w:styleId="Tekstdymka">
    <w:name w:val="Balloon Text"/>
    <w:basedOn w:val="Normalny"/>
    <w:link w:val="TekstdymkaZnak"/>
    <w:uiPriority w:val="99"/>
    <w:semiHidden/>
    <w:unhideWhenUsed/>
    <w:rsid w:val="000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6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246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2B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12"/>
  </w:style>
  <w:style w:type="paragraph" w:styleId="Tekstdymka">
    <w:name w:val="Balloon Text"/>
    <w:basedOn w:val="Normalny"/>
    <w:link w:val="TekstdymkaZnak"/>
    <w:uiPriority w:val="99"/>
    <w:semiHidden/>
    <w:unhideWhenUsed/>
    <w:rsid w:val="000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Gaweł</cp:lastModifiedBy>
  <cp:revision>2</cp:revision>
  <cp:lastPrinted>2019-08-06T10:09:00Z</cp:lastPrinted>
  <dcterms:created xsi:type="dcterms:W3CDTF">2020-10-12T11:53:00Z</dcterms:created>
  <dcterms:modified xsi:type="dcterms:W3CDTF">2020-10-12T11:53:00Z</dcterms:modified>
</cp:coreProperties>
</file>