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C2" w:rsidRDefault="00482F4C" w:rsidP="00D030C2">
      <w:pPr>
        <w:spacing w:after="120" w:line="276" w:lineRule="auto"/>
        <w:jc w:val="right"/>
      </w:pPr>
      <w:bookmarkStart w:id="0" w:name="_GoBack"/>
      <w:bookmarkEnd w:id="0"/>
      <w:r>
        <w:t>OAP</w:t>
      </w:r>
      <w:r w:rsidR="009E3C05">
        <w:t>-II.420.</w:t>
      </w:r>
      <w:r w:rsidR="00062267">
        <w:t>27</w:t>
      </w:r>
      <w:r w:rsidR="009E3C05">
        <w:t>.2021</w:t>
      </w:r>
      <w:r w:rsidR="00D030C2">
        <w:t xml:space="preserve"> </w:t>
      </w:r>
      <w:r w:rsidR="009E3C05">
        <w:tab/>
      </w:r>
      <w:r w:rsidR="009E3C05">
        <w:tab/>
      </w:r>
      <w:r w:rsidR="009E3C05">
        <w:tab/>
      </w:r>
      <w:r w:rsidR="009E3C05">
        <w:tab/>
      </w:r>
      <w:r w:rsidR="009E3C05">
        <w:tab/>
      </w:r>
      <w:r w:rsidR="009E3C05">
        <w:tab/>
        <w:t xml:space="preserve">Kraków, dnia </w:t>
      </w:r>
      <w:r w:rsidR="00B1089B">
        <w:t>5</w:t>
      </w:r>
      <w:r w:rsidR="00062267">
        <w:t xml:space="preserve"> lipca</w:t>
      </w:r>
      <w:r w:rsidR="009E3C05">
        <w:t xml:space="preserve"> 2021</w:t>
      </w:r>
      <w:r w:rsidR="00D030C2">
        <w:t xml:space="preserve"> r.</w:t>
      </w:r>
    </w:p>
    <w:p w:rsidR="00D030C2" w:rsidRDefault="00D030C2" w:rsidP="00D030C2">
      <w:pPr>
        <w:tabs>
          <w:tab w:val="left" w:pos="4820"/>
        </w:tabs>
        <w:spacing w:after="120" w:line="276" w:lineRule="auto"/>
        <w:rPr>
          <w:b/>
        </w:rPr>
      </w:pPr>
    </w:p>
    <w:p w:rsidR="00D030C2" w:rsidRDefault="00D030C2" w:rsidP="00D030C2">
      <w:pPr>
        <w:tabs>
          <w:tab w:val="left" w:pos="4820"/>
        </w:tabs>
        <w:spacing w:after="120" w:line="276" w:lineRule="auto"/>
        <w:rPr>
          <w:b/>
        </w:rPr>
      </w:pPr>
    </w:p>
    <w:p w:rsidR="00D030C2" w:rsidRDefault="00D030C2" w:rsidP="00D030C2">
      <w:pPr>
        <w:tabs>
          <w:tab w:val="left" w:pos="4820"/>
        </w:tabs>
        <w:spacing w:after="120" w:line="276" w:lineRule="auto"/>
        <w:jc w:val="right"/>
        <w:rPr>
          <w:b/>
        </w:rPr>
      </w:pPr>
      <w:r>
        <w:rPr>
          <w:b/>
        </w:rPr>
        <w:t xml:space="preserve"> Państwo</w:t>
      </w:r>
      <w:r>
        <w:rPr>
          <w:b/>
        </w:rPr>
        <w:br/>
        <w:t xml:space="preserve">                          Patroni koordynatorzy</w:t>
      </w:r>
      <w:r>
        <w:rPr>
          <w:b/>
        </w:rPr>
        <w:br/>
        <w:t xml:space="preserve">                                           oraz Patroni praktyk                                                                          aplikantów aplikacji uzupełniającej prokuratorskiej</w:t>
      </w:r>
    </w:p>
    <w:p w:rsidR="00D030C2" w:rsidRDefault="00D030C2" w:rsidP="00D030C2">
      <w:pPr>
        <w:spacing w:after="120" w:line="276" w:lineRule="auto"/>
        <w:ind w:left="4248"/>
        <w:rPr>
          <w:b/>
        </w:rPr>
      </w:pPr>
    </w:p>
    <w:p w:rsidR="00D030C2" w:rsidRDefault="00D030C2" w:rsidP="00D030C2">
      <w:pPr>
        <w:spacing w:after="120" w:line="276" w:lineRule="auto"/>
        <w:jc w:val="both"/>
        <w:rPr>
          <w:b/>
          <w:i/>
        </w:rPr>
      </w:pPr>
    </w:p>
    <w:p w:rsidR="00D030C2" w:rsidRDefault="009E3C05" w:rsidP="00D030C2">
      <w:pPr>
        <w:spacing w:after="120" w:line="276" w:lineRule="auto"/>
      </w:pPr>
      <w:r>
        <w:rPr>
          <w:b/>
          <w:i/>
        </w:rPr>
        <w:t>Dotyczy praktyk aplikantów 2</w:t>
      </w:r>
      <w:r w:rsidR="00D030C2">
        <w:rPr>
          <w:b/>
          <w:i/>
        </w:rPr>
        <w:t>. rocznika aplikacji uzupełniającej prokuratorskiej po               I zjeździe</w:t>
      </w:r>
    </w:p>
    <w:p w:rsidR="00D030C2" w:rsidRDefault="00D030C2" w:rsidP="00D030C2">
      <w:pPr>
        <w:spacing w:after="120" w:line="276" w:lineRule="auto"/>
        <w:jc w:val="both"/>
      </w:pPr>
    </w:p>
    <w:p w:rsidR="00D030C2" w:rsidRDefault="00D030C2" w:rsidP="00D030C2">
      <w:pPr>
        <w:spacing w:after="120" w:line="276" w:lineRule="auto"/>
        <w:ind w:firstLine="708"/>
        <w:jc w:val="both"/>
      </w:pPr>
      <w:r>
        <w:t>W oparciu o § 2, 9 i 10 zarządzenia Dyrektora Krajowej Szkoły Sądownictwa i 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prokuratorskiej, odbywan</w:t>
      </w:r>
      <w:r w:rsidR="009E3C05">
        <w:t xml:space="preserve">ych: </w:t>
      </w:r>
      <w:r w:rsidR="009E3C05" w:rsidRPr="00062267">
        <w:rPr>
          <w:b/>
        </w:rPr>
        <w:t xml:space="preserve">1 dzień w okresie od </w:t>
      </w:r>
      <w:r w:rsidR="00062267" w:rsidRPr="00062267">
        <w:rPr>
          <w:b/>
        </w:rPr>
        <w:t>23</w:t>
      </w:r>
      <w:r w:rsidR="009E3C05" w:rsidRPr="00062267">
        <w:rPr>
          <w:b/>
        </w:rPr>
        <w:t xml:space="preserve"> do </w:t>
      </w:r>
      <w:r w:rsidR="00062267" w:rsidRPr="00062267">
        <w:rPr>
          <w:b/>
        </w:rPr>
        <w:t>27</w:t>
      </w:r>
      <w:r w:rsidR="009E3C05" w:rsidRPr="00062267">
        <w:rPr>
          <w:b/>
        </w:rPr>
        <w:t xml:space="preserve"> sierpnia 2021 roku, 1 dzień w okresie od </w:t>
      </w:r>
      <w:r w:rsidR="00062267" w:rsidRPr="00062267">
        <w:rPr>
          <w:b/>
        </w:rPr>
        <w:t xml:space="preserve">30 sierpnia </w:t>
      </w:r>
      <w:r w:rsidR="009E3C05" w:rsidRPr="00062267">
        <w:rPr>
          <w:b/>
        </w:rPr>
        <w:t xml:space="preserve"> do </w:t>
      </w:r>
      <w:r w:rsidR="00062267" w:rsidRPr="00062267">
        <w:rPr>
          <w:b/>
        </w:rPr>
        <w:t>3 września</w:t>
      </w:r>
      <w:r w:rsidR="009E3C05" w:rsidRPr="00062267">
        <w:rPr>
          <w:b/>
        </w:rPr>
        <w:t xml:space="preserve"> 2021</w:t>
      </w:r>
      <w:r w:rsidRPr="00062267">
        <w:rPr>
          <w:b/>
        </w:rPr>
        <w:t xml:space="preserve"> roku</w:t>
      </w:r>
      <w:r w:rsidR="009E3C05">
        <w:t xml:space="preserve"> </w:t>
      </w:r>
      <w:r>
        <w:t>w prokuraturach rejonowyc</w:t>
      </w:r>
      <w:r w:rsidR="00062267">
        <w:t>h</w:t>
      </w:r>
      <w:r>
        <w:t xml:space="preserve">. </w:t>
      </w:r>
    </w:p>
    <w:p w:rsidR="00D030C2" w:rsidRDefault="00D030C2" w:rsidP="00D030C2">
      <w:pPr>
        <w:spacing w:after="120" w:line="276" w:lineRule="auto"/>
        <w:ind w:firstLine="708"/>
        <w:jc w:val="both"/>
      </w:pPr>
      <w:r>
        <w:rPr>
          <w:b/>
        </w:rPr>
        <w:t xml:space="preserve">Przedmiotem I </w:t>
      </w:r>
      <w:r w:rsidR="009E3C05">
        <w:rPr>
          <w:b/>
        </w:rPr>
        <w:t>zjazdu aplikacji uzupełniającej</w:t>
      </w:r>
      <w:r>
        <w:rPr>
          <w:b/>
        </w:rPr>
        <w:t xml:space="preserve"> prokuratorskiej</w:t>
      </w:r>
      <w:r w:rsidR="00062267">
        <w:t>, który odbędzie się</w:t>
      </w:r>
      <w:r>
        <w:t xml:space="preserve"> od </w:t>
      </w:r>
      <w:r w:rsidR="009E3C05">
        <w:t>2</w:t>
      </w:r>
      <w:r>
        <w:t>1 do 2</w:t>
      </w:r>
      <w:r w:rsidR="009E3C05">
        <w:t>2 sierpnia 2021</w:t>
      </w:r>
      <w:r w:rsidR="00062267">
        <w:t> r. będzie</w:t>
      </w:r>
      <w:r>
        <w:t>:</w:t>
      </w:r>
    </w:p>
    <w:p w:rsidR="00D030C2" w:rsidRDefault="00D030C2" w:rsidP="00D030C2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ustrój prokuratury</w:t>
      </w:r>
      <w:r w:rsidR="00062267">
        <w:rPr>
          <w:rFonts w:ascii="Times New Roman" w:hAnsi="Times New Roman"/>
          <w:sz w:val="24"/>
          <w:szCs w:val="24"/>
        </w:rPr>
        <w:t xml:space="preserve"> na tle </w:t>
      </w:r>
      <w:r>
        <w:rPr>
          <w:rFonts w:ascii="Times New Roman" w:hAnsi="Times New Roman"/>
          <w:sz w:val="24"/>
          <w:szCs w:val="24"/>
        </w:rPr>
        <w:t xml:space="preserve">sądownictwa oraz wybranych organów kontroli państwowej, ochrony prawnej i ochrony porządku publicznego (w tym </w:t>
      </w:r>
      <w:r w:rsidR="00062267">
        <w:rPr>
          <w:rFonts w:ascii="Times New Roman" w:hAnsi="Times New Roman"/>
          <w:sz w:val="24"/>
          <w:szCs w:val="24"/>
        </w:rPr>
        <w:t xml:space="preserve">NIK, RPO, </w:t>
      </w:r>
      <w:r>
        <w:rPr>
          <w:rFonts w:ascii="Times New Roman" w:hAnsi="Times New Roman"/>
          <w:sz w:val="24"/>
          <w:szCs w:val="24"/>
        </w:rPr>
        <w:t>Policji</w:t>
      </w:r>
      <w:r>
        <w:rPr>
          <w:rFonts w:ascii="Times New Roman" w:hAnsi="Times New Roman"/>
          <w:kern w:val="144"/>
          <w:sz w:val="24"/>
          <w:szCs w:val="24"/>
        </w:rPr>
        <w:t xml:space="preserve">), </w:t>
      </w:r>
    </w:p>
    <w:p w:rsidR="00D030C2" w:rsidRDefault="00D030C2" w:rsidP="00D030C2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kern w:val="144"/>
          <w:sz w:val="24"/>
          <w:szCs w:val="24"/>
        </w:rPr>
        <w:t>biurowość prokuratorska</w:t>
      </w:r>
      <w:r>
        <w:rPr>
          <w:rFonts w:ascii="Times New Roman" w:hAnsi="Times New Roman"/>
          <w:kern w:val="144"/>
          <w:sz w:val="24"/>
          <w:szCs w:val="24"/>
        </w:rPr>
        <w:t xml:space="preserve"> (w tym zasady współpracy z sekretariatem, sporządzania dokumentacji, prowadzenia repertoriów, sprawozdawczości itp.), </w:t>
      </w:r>
    </w:p>
    <w:p w:rsidR="00D030C2" w:rsidRDefault="00D030C2" w:rsidP="00D030C2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prawne aspekty etyki zawodów prawniczych, w tym </w:t>
      </w:r>
      <w:r>
        <w:rPr>
          <w:rFonts w:ascii="Times New Roman" w:hAnsi="Times New Roman"/>
          <w:b/>
          <w:kern w:val="144"/>
          <w:sz w:val="24"/>
          <w:szCs w:val="24"/>
        </w:rPr>
        <w:t>zasady odpowiedzialności dyscyplinarnej prokuratora</w:t>
      </w:r>
      <w:r>
        <w:rPr>
          <w:rFonts w:ascii="Times New Roman" w:hAnsi="Times New Roman"/>
          <w:kern w:val="144"/>
          <w:sz w:val="24"/>
          <w:szCs w:val="24"/>
        </w:rPr>
        <w:t>,</w:t>
      </w:r>
    </w:p>
    <w:p w:rsidR="00D030C2" w:rsidRDefault="00D030C2" w:rsidP="00D030C2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kern w:val="144"/>
          <w:sz w:val="24"/>
          <w:szCs w:val="24"/>
        </w:rPr>
        <w:t>psychologiczne przygotowanie do zawodu prokuratora</w:t>
      </w:r>
      <w:r>
        <w:rPr>
          <w:rFonts w:ascii="Times New Roman" w:hAnsi="Times New Roman"/>
          <w:kern w:val="144"/>
          <w:sz w:val="24"/>
          <w:szCs w:val="24"/>
        </w:rPr>
        <w:t xml:space="preserve"> (w tym w zakresie: wizerunku, komunikacji, zarządzania emocjami i radzenia sobie ze stresem, zarządzania zespołem, a także niezależności wewnętrznej i zewnętrznej oraz przywiązania do wartości w zawodzie prokuratora),</w:t>
      </w:r>
    </w:p>
    <w:p w:rsidR="00D030C2" w:rsidRDefault="00D030C2" w:rsidP="00D030C2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Prawo karne procesowe</w:t>
      </w:r>
    </w:p>
    <w:p w:rsidR="00D030C2" w:rsidRDefault="00D030C2" w:rsidP="00D030C2">
      <w:pPr>
        <w:pStyle w:val="Akapitzlis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sprawdzające:</w:t>
      </w:r>
    </w:p>
    <w:p w:rsidR="00D030C2" w:rsidRDefault="00D030C2" w:rsidP="00D030C2">
      <w:pPr>
        <w:pStyle w:val="Akapitzlis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Zawiadomienie o przestępstwie i reakcja na to zawiadomienie.</w:t>
      </w:r>
    </w:p>
    <w:p w:rsidR="00D030C2" w:rsidRDefault="00D030C2" w:rsidP="00D030C2">
      <w:pPr>
        <w:pStyle w:val="Akapitzlis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różnego rodzaju zawiadomień, a w szczególności:</w:t>
      </w:r>
    </w:p>
    <w:p w:rsidR="00D030C2" w:rsidRDefault="00D030C2" w:rsidP="00D030C2">
      <w:pPr>
        <w:pStyle w:val="Akapitzlis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indywidualnych, pochodzących od osób fizycznych (przyjęcie ustnego zawiadomienia o przestępstwie w formie protokołu, pisemne zawiadomienie),</w:t>
      </w:r>
    </w:p>
    <w:p w:rsidR="00D030C2" w:rsidRDefault="00D030C2" w:rsidP="00D030C2">
      <w:pPr>
        <w:pStyle w:val="Akapitzlis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zawiadomień organu kontrolnego, np. NIK, GIIF,</w:t>
      </w:r>
    </w:p>
    <w:p w:rsidR="00D030C2" w:rsidRDefault="00D030C2" w:rsidP="00D030C2">
      <w:pPr>
        <w:pStyle w:val="Akapitzlis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zawiadomień anonimowych, a ponadto reakcja na informacje o przestępstwie zawarte w przekazach medialnych, dane zawarte w aktach innych spraw                         i w materiałach własnych Policji oraz dowody zebrane w trybie art. 308 k.p.k.</w:t>
      </w:r>
    </w:p>
    <w:p w:rsidR="00D030C2" w:rsidRDefault="00D030C2" w:rsidP="00D030C2">
      <w:pPr>
        <w:pStyle w:val="Akapitzlis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Nadawanie biegu zawiadomieniom o przestępstwie wpływającym do prokuratury. </w:t>
      </w:r>
    </w:p>
    <w:p w:rsidR="00D030C2" w:rsidRDefault="00D030C2" w:rsidP="00D030C2">
      <w:pPr>
        <w:pStyle w:val="Akapitzlist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Postanowienia prokuratora o odmowie wszczęcia i wszczęciu postępowania przygotowawczego. Ocena przesłanek faktycznych i prawnych. Przeszkody procesowe. Struktura uzasadnienia decyzji. Doręczenia i terminy. Inne decyzje prokuratora podejmowane w postępowaniu sprawdzającym oraz w postępowaniu         w niezbędnym zakresie, w tym działania podejmowane dla zapobieżenia naruszeniom prawa (art. 19 § 2 k.p.k.).</w:t>
      </w:r>
    </w:p>
    <w:p w:rsidR="00D030C2" w:rsidRDefault="00D030C2" w:rsidP="00D030C2">
      <w:pPr>
        <w:pStyle w:val="Akapitzlist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D030C2" w:rsidRDefault="00D030C2" w:rsidP="00D030C2">
      <w:pPr>
        <w:spacing w:after="120" w:line="276" w:lineRule="auto"/>
        <w:ind w:firstLine="708"/>
        <w:jc w:val="both"/>
      </w:pPr>
      <w:r>
        <w:t>Zgodnie z programem aplikant winien  uczestniczyć  w  wykonywaniu bieżących  obowiązków patrona i przygotowywać podstawowe pisma w toku postępowań   sprawdzających, nabywając umiejętność współpracy z Policją i innymi organami ścigania.</w:t>
      </w:r>
    </w:p>
    <w:p w:rsidR="00D030C2" w:rsidRDefault="00D030C2" w:rsidP="00D030C2">
      <w:pPr>
        <w:spacing w:line="276" w:lineRule="auto"/>
        <w:ind w:firstLine="708"/>
        <w:jc w:val="both"/>
      </w:pPr>
      <w:r>
        <w:t xml:space="preserve">W związku z powyższym </w:t>
      </w:r>
      <w:r>
        <w:rPr>
          <w:b/>
        </w:rPr>
        <w:t>podczas praktyk aplikanci powinni mieć możliwość zapoznania się:</w:t>
      </w:r>
    </w:p>
    <w:p w:rsidR="00D030C2" w:rsidRDefault="00D030C2" w:rsidP="00D030C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ogólnymi zasadami praktycznego funkcjonowania prokuratury rejonowej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 szczególności gdy chodzi o nadawanie biegu sprawom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późniejszy obieg dokumentów – przy uwzględnieniu praktyki stosowania Regulaminu</w:t>
      </w:r>
      <w:r>
        <w:rPr>
          <w:rFonts w:ascii="Times New Roman" w:hAnsi="Times New Roman"/>
          <w:bCs/>
          <w:sz w:val="24"/>
          <w:szCs w:val="24"/>
        </w:rPr>
        <w:t xml:space="preserve"> wewnętrznego urzędowania powszechnych jednostek organizacyjnych prokuratury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D030C2" w:rsidRDefault="00D030C2" w:rsidP="00D030C2">
      <w:pPr>
        <w:numPr>
          <w:ilvl w:val="0"/>
          <w:numId w:val="5"/>
        </w:numPr>
        <w:spacing w:line="276" w:lineRule="auto"/>
        <w:ind w:left="714" w:hanging="357"/>
        <w:jc w:val="both"/>
      </w:pPr>
      <w:r>
        <w:rPr>
          <w:b/>
        </w:rPr>
        <w:t>z pracą sekretariatu</w:t>
      </w:r>
      <w:r>
        <w:t xml:space="preserve"> prokuratury rejonowej;</w:t>
      </w:r>
    </w:p>
    <w:p w:rsidR="00D030C2" w:rsidRDefault="00D030C2" w:rsidP="00D030C2">
      <w:pPr>
        <w:numPr>
          <w:ilvl w:val="0"/>
          <w:numId w:val="5"/>
        </w:numPr>
        <w:spacing w:line="276" w:lineRule="auto"/>
        <w:ind w:left="714" w:hanging="357"/>
        <w:jc w:val="both"/>
      </w:pPr>
      <w:r>
        <w:t xml:space="preserve">ze stosowanymi w jednostce prokuratury urządzeniami kontrolno-ewidencyjnymi, w tym </w:t>
      </w:r>
      <w:r>
        <w:rPr>
          <w:b/>
        </w:rPr>
        <w:t>z Systemem Informatycznym Prokuratury</w:t>
      </w:r>
      <w:r>
        <w:t xml:space="preserve">; </w:t>
      </w:r>
    </w:p>
    <w:p w:rsidR="00D030C2" w:rsidRDefault="00D030C2" w:rsidP="00D030C2">
      <w:pPr>
        <w:numPr>
          <w:ilvl w:val="0"/>
          <w:numId w:val="5"/>
        </w:numPr>
        <w:spacing w:line="276" w:lineRule="auto"/>
        <w:ind w:left="714" w:hanging="357"/>
        <w:jc w:val="both"/>
      </w:pPr>
      <w:r>
        <w:t>z praktycznymi aspektami ochrony danych osobowych w prokuraturze rejonowej;</w:t>
      </w:r>
    </w:p>
    <w:p w:rsidR="00D030C2" w:rsidRDefault="00D030C2" w:rsidP="00D030C2">
      <w:pPr>
        <w:numPr>
          <w:ilvl w:val="0"/>
          <w:numId w:val="5"/>
        </w:numPr>
        <w:spacing w:line="276" w:lineRule="auto"/>
        <w:ind w:left="714" w:hanging="357"/>
        <w:jc w:val="both"/>
      </w:pPr>
      <w:r>
        <w:t>z praktycznymi aspektami BHP w prokuraturze rejonowej;</w:t>
      </w:r>
    </w:p>
    <w:p w:rsidR="00D030C2" w:rsidRDefault="00D030C2" w:rsidP="00D030C2">
      <w:pPr>
        <w:numPr>
          <w:ilvl w:val="0"/>
          <w:numId w:val="5"/>
        </w:numPr>
        <w:spacing w:after="120" w:line="276" w:lineRule="auto"/>
        <w:ind w:left="714" w:hanging="357"/>
        <w:jc w:val="both"/>
      </w:pPr>
      <w:r>
        <w:rPr>
          <w:b/>
        </w:rPr>
        <w:t>z praktycznymi aspektami odpowiedzialności służbowej prokuratora, w szczególności gdy chodzi o terminowość</w:t>
      </w:r>
      <w:r>
        <w:t xml:space="preserve"> wykonywania czynności, a także </w:t>
      </w:r>
      <w:r>
        <w:rPr>
          <w:b/>
        </w:rPr>
        <w:t>zasady kontaktów z prokuratorami nadrzędnymi i przełożonymi, ze stronami i z Policją</w:t>
      </w:r>
      <w:r>
        <w:t>;</w:t>
      </w:r>
    </w:p>
    <w:p w:rsidR="00D030C2" w:rsidRDefault="00D030C2" w:rsidP="00D030C2">
      <w:pPr>
        <w:spacing w:after="120" w:line="276" w:lineRule="auto"/>
        <w:jc w:val="both"/>
      </w:pPr>
      <w:r>
        <w:rPr>
          <w:b/>
        </w:rPr>
        <w:t>a nadto uczestniczyć w wykonywaniu bieżących czynności patrona i zapoznawać się z praktycznymi aspektami prowadzenia przez niego referatu, w szczególności z czynnościami podejmowanymi na najwcześniejszym etapie postępowania karnego</w:t>
      </w:r>
      <w:r>
        <w:t xml:space="preserve"> (nadawanie biegu zawiadomieniom o przestępstwie, odmowa wszczęcia postępowania, egzekwowanie terminu, o którym mowa w art. 307§1 kpk, itp.).</w:t>
      </w:r>
    </w:p>
    <w:p w:rsidR="00D030C2" w:rsidRDefault="00D030C2" w:rsidP="00D030C2">
      <w:pPr>
        <w:spacing w:after="120" w:line="276" w:lineRule="auto"/>
        <w:jc w:val="both"/>
      </w:pPr>
      <w:r>
        <w:t xml:space="preserve">Aplikanci winni również mieć możliwość zapoznania się z możliwie najszerszą gamą zawiadomień o przestępstwie wpływających do prokuratury oraz innych materiałów wymagających rozważenia zasadności wszczęcia postępowania przygotowawczego             (np. materiałów wyłączonych z innego postępowania), uczestniczenia w przyjmowaniu ustnego zawiadomienia o przestępstwie i przesłuchiwaniu zawiadamiającego w charakterze </w:t>
      </w:r>
      <w:r>
        <w:lastRenderedPageBreak/>
        <w:t>świadka, a nadto nabyć umiejętność: kwalifikowania wpływających zawiadomień oraz innych materiałów, nadawania im biegu, w tym udzielania wytycznych Policji i innym organom –     w szczególności w celu ukierunkowania czynności sprawdzających, oceny przesłanek faktycznych i prawnych wszczęcia i odmowy wszczęcia postępowania przygotowawczego, sporządzania postanowień o wszczęciu postępowania przygotowawczego i zarządzeń              o powierzeniu jego prowadzenia innemu organowi, opracowywania planu śledztwa, sporządzania postanowień o odmowie wszczęcia postępowania przygotowawczego, uzasadniania postanowień o wszczęciu i odmowie wszczęcia postępowania.</w:t>
      </w:r>
    </w:p>
    <w:p w:rsidR="00D030C2" w:rsidRDefault="00D030C2" w:rsidP="00D030C2">
      <w:pPr>
        <w:spacing w:after="120" w:line="276" w:lineRule="auto"/>
        <w:jc w:val="both"/>
      </w:pPr>
      <w:r>
        <w:t>Patroni winni zwracać uwagę nie tylko na merytoryczną trafność i formalną poprawność sporządzanych przez aplikantów pism, ale również na rodzaj użytej argumentacji, logikę           i poprawność językową.</w:t>
      </w:r>
    </w:p>
    <w:p w:rsidR="00D030C2" w:rsidRDefault="00D030C2" w:rsidP="00D030C2">
      <w:pPr>
        <w:spacing w:after="120" w:line="276" w:lineRule="auto"/>
        <w:jc w:val="both"/>
      </w:pPr>
      <w:r>
        <w:t>Powyższe nie wyklucza możliwości powierzania aplikantom również innych zadań wynikających z normalnego toku pracy prokuratorskiej. Powinny one jednak mieć charakter wyłącznie uzupełniający w stosunku do zadań wynikających z programu aplikacji.</w:t>
      </w:r>
    </w:p>
    <w:p w:rsidR="00D030C2" w:rsidRDefault="00D030C2" w:rsidP="00D030C2">
      <w:pPr>
        <w:spacing w:after="120" w:line="276" w:lineRule="auto"/>
      </w:pPr>
    </w:p>
    <w:p w:rsidR="00D030C2" w:rsidRDefault="00D030C2" w:rsidP="00D030C2">
      <w:pPr>
        <w:spacing w:after="120"/>
        <w:jc w:val="center"/>
      </w:pPr>
      <w:r>
        <w:t>Kierownik Działu Dydaktycznego</w:t>
      </w:r>
    </w:p>
    <w:p w:rsidR="00D030C2" w:rsidRDefault="00D030C2" w:rsidP="00D030C2">
      <w:pPr>
        <w:spacing w:after="120"/>
        <w:jc w:val="center"/>
      </w:pPr>
      <w:r>
        <w:t>Ośrodka Aplikacji Prokuratorskiej</w:t>
      </w:r>
    </w:p>
    <w:p w:rsidR="00D030C2" w:rsidRDefault="00D030C2" w:rsidP="00D030C2">
      <w:pPr>
        <w:spacing w:after="120"/>
        <w:jc w:val="center"/>
      </w:pPr>
      <w:r>
        <w:t>Krajowej Szkoły Sądownictwa i Prokuratury</w:t>
      </w:r>
    </w:p>
    <w:p w:rsidR="00D030C2" w:rsidRDefault="00D030C2" w:rsidP="00D030C2">
      <w:pPr>
        <w:spacing w:after="120"/>
        <w:jc w:val="center"/>
      </w:pPr>
    </w:p>
    <w:p w:rsidR="00D030C2" w:rsidRDefault="00D030C2" w:rsidP="00D030C2">
      <w:pPr>
        <w:spacing w:after="120"/>
        <w:jc w:val="center"/>
      </w:pPr>
      <w:r>
        <w:t>Marta Zin</w:t>
      </w:r>
    </w:p>
    <w:p w:rsidR="00D030C2" w:rsidRDefault="00D030C2" w:rsidP="00D030C2">
      <w:pPr>
        <w:spacing w:after="120"/>
        <w:jc w:val="center"/>
      </w:pPr>
      <w:r>
        <w:t>Prokurator</w:t>
      </w:r>
    </w:p>
    <w:p w:rsidR="000B4076" w:rsidRDefault="000B4076"/>
    <w:sectPr w:rsidR="000B4076" w:rsidSect="003D1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79" w:rsidRDefault="00131579">
      <w:r>
        <w:separator/>
      </w:r>
    </w:p>
  </w:endnote>
  <w:endnote w:type="continuationSeparator" w:id="0">
    <w:p w:rsidR="00131579" w:rsidRDefault="0013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9B" w:rsidRDefault="00EF72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F729B">
      <w:rPr>
        <w:noProof/>
      </w:rPr>
      <w:t>2</w:t>
    </w:r>
    <w:r>
      <w:rPr>
        <w:noProof/>
      </w:rPr>
      <w:fldChar w:fldCharType="end"/>
    </w:r>
  </w:p>
  <w:p w:rsidR="001B510F" w:rsidRDefault="001315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131579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131579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79" w:rsidRDefault="00131579">
      <w:r>
        <w:separator/>
      </w:r>
    </w:p>
  </w:footnote>
  <w:footnote w:type="continuationSeparator" w:id="0">
    <w:p w:rsidR="00131579" w:rsidRDefault="0013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9B" w:rsidRDefault="00EF72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131579" w:rsidP="003D147B">
    <w:pPr>
      <w:pStyle w:val="Nagwek"/>
      <w:ind w:right="4959"/>
      <w:jc w:val="center"/>
      <w:rPr>
        <w:b/>
      </w:rPr>
    </w:pPr>
  </w:p>
  <w:p w:rsidR="001B510F" w:rsidRPr="009E7ADE" w:rsidRDefault="00131579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131579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02C54"/>
    <w:multiLevelType w:val="hybridMultilevel"/>
    <w:tmpl w:val="B4361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482B"/>
    <w:multiLevelType w:val="hybridMultilevel"/>
    <w:tmpl w:val="4B820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3"/>
    <w:rsid w:val="000062D5"/>
    <w:rsid w:val="00062267"/>
    <w:rsid w:val="000B4076"/>
    <w:rsid w:val="00131579"/>
    <w:rsid w:val="002B1837"/>
    <w:rsid w:val="002B523A"/>
    <w:rsid w:val="00313D8C"/>
    <w:rsid w:val="004208FD"/>
    <w:rsid w:val="00435CDB"/>
    <w:rsid w:val="00482F4C"/>
    <w:rsid w:val="005C1373"/>
    <w:rsid w:val="007D554A"/>
    <w:rsid w:val="009E3C05"/>
    <w:rsid w:val="00B1089B"/>
    <w:rsid w:val="00B92CF3"/>
    <w:rsid w:val="00BC1096"/>
    <w:rsid w:val="00D030C2"/>
    <w:rsid w:val="00ED39E2"/>
    <w:rsid w:val="00EF729B"/>
    <w:rsid w:val="00F866FC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Akapitzlist">
    <w:name w:val="List Paragraph"/>
    <w:basedOn w:val="Normalny"/>
    <w:uiPriority w:val="34"/>
    <w:qFormat/>
    <w:rsid w:val="00D030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5117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2021-07-29T13:27:00Z</dcterms:created>
  <dcterms:modified xsi:type="dcterms:W3CDTF">2021-07-29T13:27:00Z</dcterms:modified>
</cp:coreProperties>
</file>