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E25630" w:rsidRDefault="00C57C0D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OAP-II.420.3.4</w:t>
      </w:r>
      <w:r w:rsidR="00526C78" w:rsidRPr="00E25630">
        <w:rPr>
          <w:rFonts w:ascii="Times New Roman" w:hAnsi="Times New Roman" w:cs="Times New Roman"/>
          <w:sz w:val="24"/>
          <w:szCs w:val="24"/>
        </w:rPr>
        <w:t>.2025</w:t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9C39F4" w:rsidRPr="00E25630">
        <w:rPr>
          <w:rFonts w:ascii="Times New Roman" w:hAnsi="Times New Roman" w:cs="Times New Roman"/>
          <w:sz w:val="24"/>
          <w:szCs w:val="24"/>
        </w:rPr>
        <w:t xml:space="preserve">Kraków,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4813">
        <w:rPr>
          <w:rFonts w:ascii="Times New Roman" w:hAnsi="Times New Roman" w:cs="Times New Roman"/>
          <w:sz w:val="24"/>
          <w:szCs w:val="24"/>
        </w:rPr>
        <w:t>2</w:t>
      </w:r>
      <w:r w:rsidR="00187B67">
        <w:rPr>
          <w:rFonts w:ascii="Times New Roman" w:hAnsi="Times New Roman" w:cs="Times New Roman"/>
          <w:sz w:val="24"/>
          <w:szCs w:val="24"/>
        </w:rPr>
        <w:t xml:space="preserve"> czerwca</w:t>
      </w:r>
      <w:r w:rsidR="000079FB" w:rsidRPr="00E25630">
        <w:rPr>
          <w:rFonts w:ascii="Times New Roman" w:hAnsi="Times New Roman" w:cs="Times New Roman"/>
          <w:sz w:val="24"/>
          <w:szCs w:val="24"/>
        </w:rPr>
        <w:t>2025 r.</w:t>
      </w:r>
    </w:p>
    <w:p w:rsidR="00944825" w:rsidRPr="00E25630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47061" w:rsidRPr="00E25630" w:rsidRDefault="00F47061" w:rsidP="00380232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E25630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O</w:t>
      </w:r>
      <w:r w:rsidRPr="00E2563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47214A" w:rsidRPr="00E25630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OAP-II.420.5.1</w:t>
      </w:r>
      <w:r w:rsidRPr="00E25630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2024 </w:t>
      </w:r>
    </w:p>
    <w:p w:rsidR="009C39F4" w:rsidRPr="00E25630" w:rsidRDefault="007E5AD4" w:rsidP="00944825">
      <w:pPr>
        <w:spacing w:after="12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0079FB" w:rsidRPr="00E25630" w:rsidRDefault="000079FB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>Patroni Koordynator</w:t>
      </w:r>
    </w:p>
    <w:p w:rsidR="009C39F4" w:rsidRPr="00E25630" w:rsidRDefault="009C39F4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 xml:space="preserve">oraz Patroni </w:t>
      </w:r>
      <w:r w:rsidR="00C57C0D">
        <w:rPr>
          <w:rFonts w:ascii="Times New Roman" w:hAnsi="Times New Roman" w:cs="Times New Roman"/>
          <w:b/>
          <w:sz w:val="24"/>
          <w:szCs w:val="24"/>
        </w:rPr>
        <w:t xml:space="preserve">i Opiekunowie </w:t>
      </w:r>
      <w:r w:rsidRPr="00E25630">
        <w:rPr>
          <w:rFonts w:ascii="Times New Roman" w:hAnsi="Times New Roman" w:cs="Times New Roman"/>
          <w:b/>
          <w:sz w:val="24"/>
          <w:szCs w:val="24"/>
        </w:rPr>
        <w:t>Praktyk</w:t>
      </w:r>
    </w:p>
    <w:p w:rsidR="009C39F4" w:rsidRPr="00E25630" w:rsidRDefault="009C39F4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0079FB" w:rsidRPr="00E25630" w:rsidRDefault="000079FB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C39F4" w:rsidRPr="00E25630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E25630">
        <w:rPr>
          <w:rFonts w:ascii="Times New Roman" w:hAnsi="Times New Roman" w:cs="Times New Roman"/>
          <w:b/>
          <w:i/>
          <w:sz w:val="24"/>
          <w:szCs w:val="24"/>
        </w:rPr>
        <w:t>praktyk aplikant</w:t>
      </w:r>
      <w:r w:rsidR="00944825" w:rsidRPr="00E25630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Pr="00E25630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47061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9C39F4" w:rsidRPr="00E25630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C0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47061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 zjeździe </w:t>
      </w:r>
    </w:p>
    <w:p w:rsidR="009C39F4" w:rsidRPr="00E25630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C0D" w:rsidRDefault="009C39F4" w:rsidP="00E8050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30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E25630">
        <w:rPr>
          <w:rFonts w:ascii="Times New Roman" w:hAnsi="Times New Roman" w:cs="Times New Roman"/>
          <w:sz w:val="24"/>
          <w:szCs w:val="24"/>
        </w:rPr>
        <w:t xml:space="preserve">1 ust.2 </w:t>
      </w:r>
      <w:r w:rsidRPr="00E25630">
        <w:rPr>
          <w:rFonts w:ascii="Times New Roman" w:hAnsi="Times New Roman" w:cs="Times New Roman"/>
          <w:sz w:val="24"/>
          <w:szCs w:val="24"/>
        </w:rPr>
        <w:t>zarządzenia Dyrekto</w:t>
      </w:r>
      <w:r w:rsidR="008B6D0B" w:rsidRPr="00E25630">
        <w:rPr>
          <w:rFonts w:ascii="Times New Roman" w:hAnsi="Times New Roman" w:cs="Times New Roman"/>
          <w:sz w:val="24"/>
          <w:szCs w:val="24"/>
        </w:rPr>
        <w:t xml:space="preserve">ra Krajowej Szkoły Sądownictwa </w:t>
      </w:r>
      <w:r w:rsidR="00C57C0D">
        <w:rPr>
          <w:rFonts w:ascii="Times New Roman" w:hAnsi="Times New Roman" w:cs="Times New Roman"/>
          <w:sz w:val="24"/>
          <w:szCs w:val="24"/>
        </w:rPr>
        <w:br/>
      </w:r>
      <w:r w:rsidRPr="00E25630">
        <w:rPr>
          <w:rFonts w:ascii="Times New Roman" w:hAnsi="Times New Roman" w:cs="Times New Roman"/>
          <w:sz w:val="24"/>
          <w:szCs w:val="24"/>
        </w:rPr>
        <w:t xml:space="preserve">i Prokuratury w Krakowie Nr </w:t>
      </w:r>
      <w:r w:rsidR="005052C3" w:rsidRPr="00E25630">
        <w:rPr>
          <w:rFonts w:ascii="Times New Roman" w:hAnsi="Times New Roman" w:cs="Times New Roman"/>
          <w:sz w:val="24"/>
          <w:szCs w:val="24"/>
        </w:rPr>
        <w:t>539</w:t>
      </w:r>
      <w:r w:rsidRPr="00E25630">
        <w:rPr>
          <w:rFonts w:ascii="Times New Roman" w:hAnsi="Times New Roman" w:cs="Times New Roman"/>
          <w:sz w:val="24"/>
          <w:szCs w:val="24"/>
        </w:rPr>
        <w:t>/20</w:t>
      </w:r>
      <w:r w:rsidR="005052C3" w:rsidRPr="00E25630">
        <w:rPr>
          <w:rFonts w:ascii="Times New Roman" w:hAnsi="Times New Roman" w:cs="Times New Roman"/>
          <w:sz w:val="24"/>
          <w:szCs w:val="24"/>
        </w:rPr>
        <w:t>21</w:t>
      </w:r>
      <w:r w:rsidRPr="00E25630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E25630">
        <w:rPr>
          <w:rFonts w:ascii="Times New Roman" w:hAnsi="Times New Roman" w:cs="Times New Roman"/>
          <w:sz w:val="24"/>
          <w:szCs w:val="24"/>
        </w:rPr>
        <w:t>27 października</w:t>
      </w:r>
      <w:r w:rsidRPr="00E25630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E25630">
        <w:rPr>
          <w:rFonts w:ascii="Times New Roman" w:hAnsi="Times New Roman" w:cs="Times New Roman"/>
          <w:sz w:val="24"/>
          <w:szCs w:val="24"/>
        </w:rPr>
        <w:t>21</w:t>
      </w:r>
      <w:r w:rsidRPr="00E25630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E25630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E25630">
        <w:rPr>
          <w:rFonts w:ascii="Times New Roman" w:hAnsi="Times New Roman" w:cs="Times New Roman"/>
          <w:sz w:val="24"/>
          <w:szCs w:val="24"/>
        </w:rPr>
        <w:t>prokuratorskiej, uprzejmie przedstawiam szczegółowy zakres tematyczny, który powinien być przedmiotem praktyk aplikantów aplikacji prokuratorskiej odbywanych w dniach</w:t>
      </w:r>
      <w:r w:rsidR="00C57C0D">
        <w:rPr>
          <w:rFonts w:ascii="Times New Roman" w:hAnsi="Times New Roman" w:cs="Times New Roman"/>
          <w:sz w:val="24"/>
          <w:szCs w:val="24"/>
        </w:rPr>
        <w:t>:</w:t>
      </w:r>
    </w:p>
    <w:p w:rsidR="00C57C0D" w:rsidRPr="00E80505" w:rsidRDefault="009C39F4" w:rsidP="00E80505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0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404B23">
        <w:rPr>
          <w:rFonts w:ascii="Times New Roman" w:hAnsi="Times New Roman" w:cs="Times New Roman"/>
          <w:b/>
          <w:sz w:val="24"/>
          <w:szCs w:val="24"/>
        </w:rPr>
        <w:t xml:space="preserve">3 do 7 listopada 2025 roku </w:t>
      </w:r>
      <w:r w:rsidR="00C57C0D" w:rsidRPr="00E80505">
        <w:rPr>
          <w:rFonts w:ascii="Times New Roman" w:hAnsi="Times New Roman" w:cs="Times New Roman"/>
          <w:b/>
          <w:sz w:val="24"/>
          <w:szCs w:val="24"/>
        </w:rPr>
        <w:t>w prokuraturach rejonowych (</w:t>
      </w:r>
      <w:r w:rsidR="007A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C0D" w:rsidRPr="00E80505">
        <w:rPr>
          <w:rFonts w:ascii="Times New Roman" w:hAnsi="Times New Roman" w:cs="Times New Roman"/>
          <w:b/>
          <w:sz w:val="24"/>
          <w:szCs w:val="24"/>
        </w:rPr>
        <w:t>1 tydz.</w:t>
      </w:r>
      <w:r w:rsidR="007A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C0D" w:rsidRPr="00E8050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80505" w:rsidRPr="00C57C0D" w:rsidRDefault="00E80505" w:rsidP="00E80505">
      <w:pPr>
        <w:pStyle w:val="Akapitzlist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9F4" w:rsidRPr="00E80505" w:rsidRDefault="00C57C0D" w:rsidP="00E80505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05">
        <w:rPr>
          <w:rFonts w:ascii="Times New Roman" w:hAnsi="Times New Roman" w:cs="Times New Roman"/>
          <w:b/>
          <w:sz w:val="24"/>
          <w:szCs w:val="24"/>
        </w:rPr>
        <w:t>od 10 do 21 listopada 2025</w:t>
      </w:r>
      <w:r w:rsidR="007A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505">
        <w:rPr>
          <w:rFonts w:ascii="Times New Roman" w:hAnsi="Times New Roman" w:cs="Times New Roman"/>
          <w:b/>
          <w:sz w:val="24"/>
          <w:szCs w:val="24"/>
        </w:rPr>
        <w:t>roku w jednostkach policji szczebla miejskiego lub powiatowego (</w:t>
      </w:r>
      <w:r w:rsidR="007A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505">
        <w:rPr>
          <w:rFonts w:ascii="Times New Roman" w:hAnsi="Times New Roman" w:cs="Times New Roman"/>
          <w:b/>
          <w:sz w:val="24"/>
          <w:szCs w:val="24"/>
        </w:rPr>
        <w:t>2 tyg.</w:t>
      </w:r>
      <w:r w:rsidR="007A4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50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80505" w:rsidRPr="00C57C0D" w:rsidRDefault="00E80505" w:rsidP="00E80505">
      <w:pPr>
        <w:pStyle w:val="Akapitzlist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C0D" w:rsidRDefault="00C57C0D" w:rsidP="00E80505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C0D">
        <w:rPr>
          <w:rFonts w:ascii="Times New Roman" w:hAnsi="Times New Roman" w:cs="Times New Roman"/>
          <w:sz w:val="24"/>
          <w:szCs w:val="24"/>
        </w:rPr>
        <w:t>Celem praktyki jest poznanie struktury organizacyjnej jednostek powiatowych lub miejskich policji, procedur ich postępowania, zaznajomienie się z metodami zabezpieczania materiału dowodowego do badań kryminalistycznych oraz udział w czynnościach podejmowanych w poszczególnych komórkach organizacyjnych (w tym w czynnościach dochodzenia w niezbędnym zakresie). Ponadto celem praktyki jest utrwa</w:t>
      </w:r>
      <w:r>
        <w:rPr>
          <w:rFonts w:ascii="Times New Roman" w:hAnsi="Times New Roman" w:cs="Times New Roman"/>
          <w:sz w:val="24"/>
          <w:szCs w:val="24"/>
        </w:rPr>
        <w:t xml:space="preserve">lenie umiejętności sporządzania </w:t>
      </w:r>
      <w:r w:rsidRPr="00C57C0D">
        <w:rPr>
          <w:rFonts w:ascii="Times New Roman" w:hAnsi="Times New Roman" w:cs="Times New Roman"/>
          <w:sz w:val="24"/>
          <w:szCs w:val="24"/>
        </w:rPr>
        <w:t>postanowień wydawany</w:t>
      </w:r>
      <w:r>
        <w:rPr>
          <w:rFonts w:ascii="Times New Roman" w:hAnsi="Times New Roman" w:cs="Times New Roman"/>
          <w:sz w:val="24"/>
          <w:szCs w:val="24"/>
        </w:rPr>
        <w:t>ch w toku postępowania</w:t>
      </w:r>
      <w:r w:rsidRPr="00C57C0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57C0D">
        <w:rPr>
          <w:rFonts w:ascii="Times New Roman" w:hAnsi="Times New Roman" w:cs="Times New Roman"/>
          <w:sz w:val="24"/>
          <w:szCs w:val="24"/>
        </w:rPr>
        <w:t>o zatrzymaniu rzeczy lub danych, o przeszukaniu, w przedmiocie dowodów rzeczowych</w:t>
      </w:r>
    </w:p>
    <w:p w:rsidR="00E80505" w:rsidRPr="00C57C0D" w:rsidRDefault="00E80505" w:rsidP="00E80505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67" w:rsidRPr="003141EB" w:rsidRDefault="00187B67" w:rsidP="00E8050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1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Patroni praktyk </w:t>
      </w:r>
      <w:r w:rsidR="00D828DC" w:rsidRPr="003141EB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prokuraturach rejonowych </w:t>
      </w:r>
      <w:r w:rsidRPr="003141EB">
        <w:rPr>
          <w:rFonts w:ascii="Times New Roman" w:hAnsi="Times New Roman" w:cs="Times New Roman"/>
          <w:b/>
          <w:sz w:val="24"/>
          <w:szCs w:val="24"/>
          <w:u w:val="single"/>
        </w:rPr>
        <w:t>winni zadbać, aby aplikanci sporządzili projekty co najmniej:</w:t>
      </w:r>
    </w:p>
    <w:p w:rsidR="00BC0EED" w:rsidRPr="008D6932" w:rsidRDefault="00BC0EED" w:rsidP="00E80505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postanowień (o żądaniu wydania rzeczy, o zatrzymaniu rzeczy lub danych, </w:t>
      </w:r>
      <w:r w:rsid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przeszukaniu, postanowień w przedmiocie dowodów rzeczowych); </w:t>
      </w:r>
    </w:p>
    <w:p w:rsidR="00BC0EED" w:rsidRPr="008D6932" w:rsidRDefault="00BC0EED" w:rsidP="00E80505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>5 postanowień</w:t>
      </w:r>
      <w:r w:rsidRPr="008D6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dopuszczeniu dowodu z opinii biegłych różnych specjalności; </w:t>
      </w:r>
    </w:p>
    <w:p w:rsidR="00BC0EED" w:rsidRPr="008D6932" w:rsidRDefault="00E80505" w:rsidP="00E80505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8D6932"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</w:t>
      </w:r>
      <w:r w:rsidR="00BC0EED"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przyznania należności za wydanie opinii (w tym ewentualnie decyzji przyznających wynagrodzenie niższe, niż żądał biegły).</w:t>
      </w:r>
    </w:p>
    <w:p w:rsidR="008D6932" w:rsidRPr="008D6932" w:rsidRDefault="008D6932" w:rsidP="00E8050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powinni zadbać nadto o to, aby aplikanci w szczególności mieli możliwość: </w:t>
      </w:r>
    </w:p>
    <w:p w:rsidR="008D6932" w:rsidRPr="008D6932" w:rsidRDefault="008D6932" w:rsidP="00E80505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protokołami czynności przewidzianych w art. 217 – 236b k.p.k. (m.in. zatrzymania rzeczy, przeszukania, oględzin) oraz z inną dokumentacją sporządzaną w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zatrzymaniem przedmiotó</w:t>
      </w:r>
      <w:r w:rsidR="006738F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</w:p>
    <w:p w:rsidR="008D6932" w:rsidRPr="008D6932" w:rsidRDefault="008D6932" w:rsidP="00E80505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zasadami rejestracji i przechowywania dowodów rzeczowych oraz postępowania z nimi ze szczególnym uwzględnieniem ograniczeń, co do możliwości przechowywania w prokuraturze niektórych rodzajów przedmiotów, a także zapoznania się z zasadami oceny ich przydatności dla potrzeb postępowania karnego;</w:t>
      </w:r>
    </w:p>
    <w:p w:rsidR="008D6932" w:rsidRPr="008D6932" w:rsidRDefault="008D6932" w:rsidP="00E80505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dokonywaniu: oceny przydatności zatrzymanych przedmiotów dla potrzeb postępowania karnego („rzeczy zbędne dla postępowania karnego”), oceny poprawności przechowywania dowodów rzeczowych w ramach prowadzonych postępowań przygotowawczych (w tym środków płatniczych, środków odurzających i substancji psychotropowych, broni, amunicji itp.) oraz kontroli prawidłowości postępowania z dowodami rzeczowymi.</w:t>
      </w:r>
    </w:p>
    <w:p w:rsidR="00BC0EED" w:rsidRPr="008D6932" w:rsidRDefault="008D6932" w:rsidP="00E8050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Uwzględnić przy tym należy, że jeżeli w danej jednostce nie są aktualnie wykonywane wymienione wyżej czynności, zalecanym jest udostępnianie aplikantom akt spraw zakończonych, w których takie czynności były przeprowadzone. </w:t>
      </w:r>
    </w:p>
    <w:p w:rsidR="001379E3" w:rsidRPr="00E80505" w:rsidRDefault="006738F7" w:rsidP="00E8050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80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C0EED" w:rsidRPr="00E80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Opiekunowie praktyk w jednostkach policji szczebla miejskiego lub powiatowego winni zadbać o to aby</w:t>
      </w:r>
      <w:r w:rsidR="001379E3" w:rsidRPr="00E805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BC0EED" w:rsidRPr="00E80505" w:rsidRDefault="00BC0EED" w:rsidP="00E8050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aplikanci zapoznali się ze strukturą i zasadami funkcjonowania jednostek policji oraz mieli możliwość jak najszerszego uczestniczenia w wykonywanych przez funkcj</w:t>
      </w:r>
      <w:r w:rsidR="001379E3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>onariuszy pionu dochodzeniowego</w:t>
      </w:r>
      <w:r w:rsidR="006738F7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ruchu drogowego, </w:t>
      </w: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techników czynnościach </w:t>
      </w:r>
      <w:r w:rsidR="006738F7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terenie, </w:t>
      </w: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różnymi zdarzeniami  skutkującymi koniecznością dokonywania oględzin miejsc/osó</w:t>
      </w:r>
      <w:r w:rsidR="001379E3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>b/rzeczy (przestępstwa p-ko bezpieczeństwu w komunikacji/ życiu i zdrowiu/ mieniu i inne)</w:t>
      </w: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nabyli </w:t>
      </w: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umiejętności dokumentowania tych czynności</w:t>
      </w:r>
      <w:r w:rsidR="001379E3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>, nadto aby aplikanci uczestniczyli w czynnościach związanych z realizacją postanowień o żądaniu wydania rzeczy, przeszukaniu, zatrzymaniu rzeczy lub danych.</w:t>
      </w:r>
      <w:r w:rsidR="00C93C8D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Analogicznie należy zapewnić aplikantom możliwość uczestniczenia w zabezpieczaniu dowodów, dokonywaniu ich oględzin, właściwym  </w:t>
      </w:r>
      <w:r w:rsidR="001379E3"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ewidencjonowaniu na terenie jednostek policji </w:t>
      </w:r>
    </w:p>
    <w:p w:rsidR="00C93C8D" w:rsidRPr="00E80505" w:rsidRDefault="00C93C8D" w:rsidP="00E8050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505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aplikanci powinni zapoznać się z :</w:t>
      </w:r>
    </w:p>
    <w:p w:rsidR="00C93C8D" w:rsidRPr="001D5794" w:rsidRDefault="00C93C8D" w:rsidP="00E80505">
      <w:pPr>
        <w:numPr>
          <w:ilvl w:val="0"/>
          <w:numId w:val="3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94">
        <w:rPr>
          <w:rFonts w:ascii="Times New Roman" w:hAnsi="Times New Roman" w:cs="Times New Roman"/>
          <w:sz w:val="24"/>
          <w:szCs w:val="24"/>
        </w:rPr>
        <w:t xml:space="preserve">pozostającymi w związku z tematem praktyk regulacjami Komendanta Głównego Policji, w szczególności: z rozdziałami 2 i 7 zarządzenia Nr 4 Komendanta Głównego Policji z dnia 9 lutego 2017 roku w sprawie niektórych form organizacji i ewidencji czynności dochodzeniowo-śledczych Policji oraz przechowywania przez Policję dowodów rzeczowych uzyskanych w postępowaniu karnym (Dz.Urz.KGP.2017.9 </w:t>
      </w:r>
      <w:r w:rsidR="001D5794">
        <w:rPr>
          <w:rFonts w:ascii="Times New Roman" w:hAnsi="Times New Roman" w:cs="Times New Roman"/>
          <w:sz w:val="24"/>
          <w:szCs w:val="24"/>
        </w:rPr>
        <w:t xml:space="preserve">z dnia </w:t>
      </w:r>
      <w:r w:rsidRPr="001D5794">
        <w:rPr>
          <w:rFonts w:ascii="Times New Roman" w:hAnsi="Times New Roman" w:cs="Times New Roman"/>
          <w:sz w:val="24"/>
          <w:szCs w:val="24"/>
        </w:rPr>
        <w:t>2017.02.10 z późn. zm.), a także z rozdziałami: 8, 9, 10 i 11 wytycznych Nr 3 Komendanta Głównego Policji z dnia 30 sierpnia 2017 roku w sprawie wykonywania niektórych czynności dochodzeniowo-śledczych przez policjantów (Dz.</w:t>
      </w:r>
      <w:r w:rsidR="00EF18B8">
        <w:rPr>
          <w:rFonts w:ascii="Times New Roman" w:hAnsi="Times New Roman" w:cs="Times New Roman"/>
          <w:sz w:val="24"/>
          <w:szCs w:val="24"/>
        </w:rPr>
        <w:t xml:space="preserve"> </w:t>
      </w:r>
      <w:r w:rsidRPr="001D5794">
        <w:rPr>
          <w:rFonts w:ascii="Times New Roman" w:hAnsi="Times New Roman" w:cs="Times New Roman"/>
          <w:sz w:val="24"/>
          <w:szCs w:val="24"/>
        </w:rPr>
        <w:t>Urz. KGP.2017.59 z dnia 2017.09.07 z późn. zm.);</w:t>
      </w:r>
    </w:p>
    <w:p w:rsidR="00C93C8D" w:rsidRPr="001D5794" w:rsidRDefault="00C93C8D" w:rsidP="00E80505">
      <w:pPr>
        <w:numPr>
          <w:ilvl w:val="0"/>
          <w:numId w:val="3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94">
        <w:rPr>
          <w:rFonts w:ascii="Times New Roman" w:hAnsi="Times New Roman" w:cs="Times New Roman"/>
          <w:sz w:val="24"/>
          <w:szCs w:val="24"/>
        </w:rPr>
        <w:t xml:space="preserve">zasadami przeprowadzania oględzin (w szczególności poprzez udział w oględzinach miejsc, rzeczy i osób; zapoznanie się z zasadami pracy specjalisty, o którym mowa w art. 205 § 1 k.p.k.; udział w czynnościach mających na celu organizację oględzin miejsca zdarzenia o skomplikowanym stanie faktycznym i w samych oględzinach); </w:t>
      </w:r>
    </w:p>
    <w:p w:rsidR="00C93C8D" w:rsidRPr="001D5794" w:rsidRDefault="00C93C8D" w:rsidP="00E80505">
      <w:pPr>
        <w:numPr>
          <w:ilvl w:val="0"/>
          <w:numId w:val="3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94">
        <w:rPr>
          <w:rFonts w:ascii="Times New Roman" w:hAnsi="Times New Roman" w:cs="Times New Roman"/>
          <w:sz w:val="24"/>
          <w:szCs w:val="24"/>
        </w:rPr>
        <w:t>materiałami w postaci zdjęć, szkiców lub zapisów video (w tym w systemie 3D), wykonanych podczas oględzin znajdujących się w aktach spraw pozostających w dyspozycji Policji oraz z techniką dokumentowania w protokole zastanych miejsc, osób, rzeczy, z umiejscowieniem i oznaczeniem śladów kryminalistycznych, ich nośników oraz rzeczy mogących mieć związek z przestępstwem;</w:t>
      </w:r>
    </w:p>
    <w:p w:rsidR="00C93C8D" w:rsidRPr="001D5794" w:rsidRDefault="00C93C8D" w:rsidP="00E80505">
      <w:pPr>
        <w:numPr>
          <w:ilvl w:val="0"/>
          <w:numId w:val="3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94">
        <w:rPr>
          <w:rFonts w:ascii="Times New Roman" w:hAnsi="Times New Roman" w:cs="Times New Roman"/>
          <w:sz w:val="24"/>
          <w:szCs w:val="24"/>
        </w:rPr>
        <w:t xml:space="preserve">techniką zabezpieczania przez specjalistę śladów kryminalistycznych, ich </w:t>
      </w:r>
      <w:r w:rsidR="001D5794" w:rsidRPr="001D5794">
        <w:rPr>
          <w:rFonts w:ascii="Times New Roman" w:hAnsi="Times New Roman" w:cs="Times New Roman"/>
          <w:sz w:val="24"/>
          <w:szCs w:val="24"/>
        </w:rPr>
        <w:t xml:space="preserve">nośników </w:t>
      </w:r>
      <w:r w:rsidRPr="001D5794">
        <w:rPr>
          <w:rFonts w:ascii="Times New Roman" w:hAnsi="Times New Roman" w:cs="Times New Roman"/>
          <w:sz w:val="24"/>
          <w:szCs w:val="24"/>
        </w:rPr>
        <w:t>oraz rzeczy mogących mieć związek z przestępstwem;</w:t>
      </w:r>
    </w:p>
    <w:p w:rsidR="00C93C8D" w:rsidRDefault="00C93C8D" w:rsidP="00E80505">
      <w:pPr>
        <w:numPr>
          <w:ilvl w:val="0"/>
          <w:numId w:val="3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94">
        <w:rPr>
          <w:rFonts w:ascii="Times New Roman" w:hAnsi="Times New Roman" w:cs="Times New Roman"/>
          <w:sz w:val="24"/>
          <w:szCs w:val="24"/>
        </w:rPr>
        <w:t xml:space="preserve">zasadami ewidencji i przechowywania przez Policję dowodów rzeczowych uzyskanych w postępowaniu karnym </w:t>
      </w:r>
    </w:p>
    <w:p w:rsidR="00EF18B8" w:rsidRPr="00E80505" w:rsidRDefault="00EF18B8" w:rsidP="00EF18B8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87B67" w:rsidRPr="004F6D5D" w:rsidRDefault="00187B67" w:rsidP="00E805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 xml:space="preserve">Każdorazowo praktyka winna utrwalić wiedzę zdobytą podczas bezpośrednio poprzedzających ją </w:t>
      </w:r>
      <w:r w:rsidR="004F6D5D" w:rsidRPr="004F6D5D">
        <w:rPr>
          <w:rFonts w:ascii="Times New Roman" w:hAnsi="Times New Roman" w:cs="Times New Roman"/>
          <w:sz w:val="24"/>
          <w:szCs w:val="24"/>
        </w:rPr>
        <w:t>zajęć w ramach zjazdu.</w:t>
      </w:r>
    </w:p>
    <w:p w:rsidR="00187B67" w:rsidRPr="004F6D5D" w:rsidRDefault="00187B67" w:rsidP="00E805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lastRenderedPageBreak/>
        <w:t>Powyższe nie wyklucza możliwości powierzania aplikantom również innych zadań wynikających z bieżącego toku pracy prokuratorskiej, zwłaszcza takich, z którymi dotychczas jeszcze się nie zetknęli lub, w których nie uczestniczyli.</w:t>
      </w:r>
    </w:p>
    <w:p w:rsidR="00E25630" w:rsidRDefault="00187B67" w:rsidP="00E805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Proszę zwracać uwagę nie tylko na merytoryczną trafność i formalną poprawność sporządzanych przez aplikantów pism, ale także na rod</w:t>
      </w:r>
      <w:r w:rsidR="00E80505">
        <w:rPr>
          <w:rFonts w:ascii="Times New Roman" w:hAnsi="Times New Roman" w:cs="Times New Roman"/>
          <w:sz w:val="24"/>
          <w:szCs w:val="24"/>
        </w:rPr>
        <w:t>zaj użytej argumentacji, logikę</w:t>
      </w:r>
      <w:r w:rsidR="00E80505">
        <w:rPr>
          <w:rFonts w:ascii="Times New Roman" w:hAnsi="Times New Roman" w:cs="Times New Roman"/>
          <w:sz w:val="24"/>
          <w:szCs w:val="24"/>
        </w:rPr>
        <w:br/>
      </w:r>
      <w:r w:rsidR="004F6D5D">
        <w:rPr>
          <w:rFonts w:ascii="Times New Roman" w:hAnsi="Times New Roman" w:cs="Times New Roman"/>
          <w:sz w:val="24"/>
          <w:szCs w:val="24"/>
        </w:rPr>
        <w:t xml:space="preserve"> i poprawność językową.</w:t>
      </w:r>
    </w:p>
    <w:p w:rsidR="00EF18B8" w:rsidRDefault="00EF18B8" w:rsidP="00E805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8B8">
        <w:rPr>
          <w:rFonts w:ascii="Times New Roman" w:hAnsi="Times New Roman" w:cs="Times New Roman"/>
          <w:sz w:val="24"/>
          <w:szCs w:val="24"/>
        </w:rPr>
        <w:t>Jednocześnie informuję, iż po praktykach aplikanci piszą sprawdzian którego przedmiotem jest sporządzenie projektu postanowienia wydawanego w oparciu o przepisy Rozdziału XXV k. p. k., a w szczególności: o zatwierdzeniu zatrzymania rzeczy, żądaniu wydania rzeczy, o przeszukaniu, zatrzymaniu i kontroli korespondencji bądź odpowiednich postanowień odnoszących się do danych informatycznych przechowywanych na urządzeniu, w systemie informatycznym albo na nośniku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8B8" w:rsidRPr="00EF18B8" w:rsidRDefault="00EF18B8" w:rsidP="00E8050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8B8">
        <w:rPr>
          <w:rFonts w:ascii="Times New Roman" w:hAnsi="Times New Roman" w:cs="Times New Roman"/>
          <w:b/>
          <w:sz w:val="24"/>
          <w:szCs w:val="24"/>
        </w:rPr>
        <w:t>Praktyka powinna przygotować</w:t>
      </w:r>
      <w:r w:rsidR="007A4813">
        <w:rPr>
          <w:rFonts w:ascii="Times New Roman" w:hAnsi="Times New Roman" w:cs="Times New Roman"/>
          <w:b/>
          <w:sz w:val="24"/>
          <w:szCs w:val="24"/>
        </w:rPr>
        <w:t xml:space="preserve"> aplikanta</w:t>
      </w:r>
      <w:r w:rsidRPr="00EF18B8">
        <w:rPr>
          <w:rFonts w:ascii="Times New Roman" w:hAnsi="Times New Roman" w:cs="Times New Roman"/>
          <w:b/>
          <w:sz w:val="24"/>
          <w:szCs w:val="24"/>
        </w:rPr>
        <w:t xml:space="preserve"> do sprawdzianu. </w:t>
      </w:r>
    </w:p>
    <w:p w:rsidR="00A56009" w:rsidRPr="00892D9D" w:rsidRDefault="00A56009" w:rsidP="00E2563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4A" w:rsidRPr="00892D9D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47214A" w:rsidRPr="00892D9D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 Działu Dydaktycznego</w:t>
      </w:r>
    </w:p>
    <w:p w:rsidR="00892D9D" w:rsidRPr="00892D9D" w:rsidRDefault="0047214A" w:rsidP="00892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47214A" w:rsidRPr="00892D9D" w:rsidRDefault="0047214A" w:rsidP="004721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Krajowej Szkoły Sądownictwa i Prokuratury</w:t>
      </w:r>
    </w:p>
    <w:p w:rsidR="0047214A" w:rsidRDefault="0047214A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7C7" w:rsidRDefault="006317C7" w:rsidP="00E256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09E" w:rsidRPr="00892D9D" w:rsidRDefault="00BD309E" w:rsidP="00E256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797E" w:rsidRPr="00494DC4" w:rsidRDefault="0097797E" w:rsidP="009779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4D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631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8</w:t>
      </w:r>
      <w:r w:rsidR="00E256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4DC4">
        <w:rPr>
          <w:rFonts w:ascii="Times New Roman" w:hAnsi="Times New Roman" w:cs="Times New Roman"/>
          <w:b/>
          <w:sz w:val="24"/>
          <w:szCs w:val="24"/>
          <w:u w:val="single"/>
        </w:rPr>
        <w:t>zjeździe XVI rocznika aplikacji prokuratorskiej</w:t>
      </w:r>
      <w:r w:rsidRPr="00494D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797E" w:rsidRPr="00EF18B8" w:rsidRDefault="006317C7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8B8">
        <w:rPr>
          <w:rFonts w:ascii="Times New Roman" w:hAnsi="Times New Roman" w:cs="Times New Roman"/>
          <w:sz w:val="24"/>
          <w:szCs w:val="24"/>
        </w:rPr>
        <w:t>Przedmiotem 8</w:t>
      </w:r>
      <w:r w:rsidR="0097797E" w:rsidRPr="00EF18B8">
        <w:rPr>
          <w:rFonts w:ascii="Times New Roman" w:hAnsi="Times New Roman" w:cs="Times New Roman"/>
          <w:sz w:val="24"/>
          <w:szCs w:val="24"/>
        </w:rPr>
        <w:t xml:space="preserve"> zjazdu XVI rocznika aplikacji prokuratorskiej, </w:t>
      </w:r>
      <w:r w:rsidRPr="00EF18B8">
        <w:rPr>
          <w:rFonts w:ascii="Times New Roman" w:hAnsi="Times New Roman" w:cs="Times New Roman"/>
          <w:sz w:val="24"/>
          <w:szCs w:val="24"/>
        </w:rPr>
        <w:t xml:space="preserve">który odbędzie się </w:t>
      </w:r>
      <w:r w:rsidRPr="00EF18B8">
        <w:rPr>
          <w:rFonts w:ascii="Times New Roman" w:hAnsi="Times New Roman" w:cs="Times New Roman"/>
          <w:sz w:val="24"/>
          <w:szCs w:val="24"/>
        </w:rPr>
        <w:br/>
        <w:t xml:space="preserve">w dniach 27-31 października 2025r. </w:t>
      </w:r>
      <w:r w:rsidR="0097797E" w:rsidRPr="00EF18B8">
        <w:rPr>
          <w:rFonts w:ascii="Times New Roman" w:hAnsi="Times New Roman" w:cs="Times New Roman"/>
          <w:sz w:val="24"/>
          <w:szCs w:val="24"/>
        </w:rPr>
        <w:t>będzie:</w:t>
      </w:r>
    </w:p>
    <w:p w:rsidR="00EF18B8" w:rsidRPr="00EF18B8" w:rsidRDefault="00EF18B8" w:rsidP="00EF18B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8B8">
        <w:rPr>
          <w:rFonts w:ascii="Times New Roman" w:hAnsi="Times New Roman" w:cs="Times New Roman"/>
          <w:sz w:val="24"/>
          <w:szCs w:val="24"/>
        </w:rPr>
        <w:t>Prawo karne materialne (Środki zabezpieczające. Środki probacyjne: warunkowe umorzenie postępowania, warunkowe zawieszenie wykonania kary)</w:t>
      </w:r>
    </w:p>
    <w:p w:rsidR="00EF18B8" w:rsidRPr="00EF18B8" w:rsidRDefault="00EF18B8" w:rsidP="00EF18B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8B8">
        <w:rPr>
          <w:rFonts w:ascii="Times New Roman" w:hAnsi="Times New Roman" w:cs="Times New Roman"/>
          <w:sz w:val="24"/>
          <w:szCs w:val="24"/>
        </w:rPr>
        <w:t xml:space="preserve"> Kryminalistyka (Kryminalistyczne i medyczno-sądowe aspekty przestępstw z użyciem broni palnej: identyfikacja broni palnej, oględziny miejsca zdarzenia i rekonstrukcja zdarzenia, sekcja zwłok i badanie osób żywych. Powoływanie biegłych z zakresu różnych specjalności (z wyjątkiem biegłych psychiatrów i seksuologa. Kryminalistyczne badanie dokumentów. Oględziny miejsca i rzeczy. Przeszukanie, zatrzymanie rzeczy, zatrzymanie danych, dowody rzeczowe. )</w:t>
      </w:r>
    </w:p>
    <w:p w:rsidR="004F6D5D" w:rsidRDefault="004F6D5D" w:rsidP="00E25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CAF" w:rsidRPr="004F6D5D" w:rsidRDefault="00093CAF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3CAF" w:rsidRPr="004F6D5D" w:rsidSect="00F66B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20" w:rsidRDefault="00C97C20">
      <w:pPr>
        <w:spacing w:after="0" w:line="240" w:lineRule="auto"/>
      </w:pPr>
      <w:r>
        <w:separator/>
      </w:r>
    </w:p>
  </w:endnote>
  <w:endnote w:type="continuationSeparator" w:id="0">
    <w:p w:rsidR="00C97C20" w:rsidRDefault="00C9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06" w:rsidRDefault="00F66B0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04E2D">
      <w:rPr>
        <w:noProof/>
      </w:rPr>
      <w:t>4</w:t>
    </w:r>
    <w:r>
      <w:rPr>
        <w:noProof/>
      </w:rPr>
      <w:fldChar w:fldCharType="end"/>
    </w:r>
  </w:p>
  <w:p w:rsidR="00F66B06" w:rsidRDefault="00F66B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F66B06" w:rsidTr="00F66B06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F66B06" w:rsidRPr="0074505E" w:rsidRDefault="00F66B06" w:rsidP="00F66B06">
          <w:pPr>
            <w:pStyle w:val="Stopka"/>
            <w:rPr>
              <w:sz w:val="4"/>
              <w:szCs w:val="4"/>
            </w:rPr>
          </w:pPr>
        </w:p>
      </w:tc>
    </w:tr>
  </w:tbl>
  <w:p w:rsidR="00F66B06" w:rsidRPr="00A944C8" w:rsidRDefault="00F66B06" w:rsidP="00F66B06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F66B06" w:rsidRPr="00A944C8" w:rsidRDefault="00F66B06" w:rsidP="00F66B06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F66B06" w:rsidRDefault="00F66B06" w:rsidP="00F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20" w:rsidRDefault="00C97C20">
      <w:pPr>
        <w:spacing w:after="0" w:line="240" w:lineRule="auto"/>
      </w:pPr>
      <w:r>
        <w:separator/>
      </w:r>
    </w:p>
  </w:footnote>
  <w:footnote w:type="continuationSeparator" w:id="0">
    <w:p w:rsidR="00C97C20" w:rsidRDefault="00C9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06" w:rsidRPr="009B38B3" w:rsidRDefault="00F66B06" w:rsidP="00F66B06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06" w:rsidRDefault="00F66B06" w:rsidP="00F66B06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F66B06" w:rsidRDefault="00F66B06" w:rsidP="00F66B06">
    <w:pPr>
      <w:pStyle w:val="Nagwek"/>
      <w:ind w:right="4959"/>
      <w:jc w:val="center"/>
      <w:rPr>
        <w:b/>
      </w:rPr>
    </w:pPr>
  </w:p>
  <w:p w:rsidR="00F66B06" w:rsidRPr="009E7ADE" w:rsidRDefault="00F66B06" w:rsidP="00F66B06">
    <w:pPr>
      <w:pStyle w:val="Nagwek"/>
      <w:ind w:left="-851" w:right="5526"/>
      <w:jc w:val="center"/>
      <w:rPr>
        <w:b/>
        <w:sz w:val="8"/>
        <w:szCs w:val="8"/>
      </w:rPr>
    </w:pPr>
  </w:p>
  <w:p w:rsidR="00F66B06" w:rsidRPr="00551ABF" w:rsidRDefault="00F66B06" w:rsidP="00F66B06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F66B06" w:rsidRDefault="00F66B06" w:rsidP="00F66B06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F66B06" w:rsidRPr="00D021CB" w:rsidRDefault="00F66B06" w:rsidP="00F66B06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D22"/>
    <w:multiLevelType w:val="hybridMultilevel"/>
    <w:tmpl w:val="B2E8EFA6"/>
    <w:lvl w:ilvl="0" w:tplc="12742F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F3A"/>
    <w:multiLevelType w:val="hybridMultilevel"/>
    <w:tmpl w:val="0DDC214E"/>
    <w:lvl w:ilvl="0" w:tplc="BB042D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BE65E0"/>
    <w:multiLevelType w:val="hybridMultilevel"/>
    <w:tmpl w:val="67FE028C"/>
    <w:lvl w:ilvl="0" w:tplc="99ACE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5617"/>
    <w:multiLevelType w:val="hybridMultilevel"/>
    <w:tmpl w:val="DD28D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681C"/>
    <w:multiLevelType w:val="hybridMultilevel"/>
    <w:tmpl w:val="E6B4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7AB"/>
    <w:multiLevelType w:val="hybridMultilevel"/>
    <w:tmpl w:val="B86CBBAE"/>
    <w:lvl w:ilvl="0" w:tplc="3730793A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D40149"/>
    <w:multiLevelType w:val="hybridMultilevel"/>
    <w:tmpl w:val="140A1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6B8C"/>
    <w:multiLevelType w:val="hybridMultilevel"/>
    <w:tmpl w:val="5EEA9874"/>
    <w:lvl w:ilvl="0" w:tplc="73841C0C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020F35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945626"/>
    <w:multiLevelType w:val="hybridMultilevel"/>
    <w:tmpl w:val="B3125D46"/>
    <w:lvl w:ilvl="0" w:tplc="C26E8D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C3E72C5"/>
    <w:multiLevelType w:val="hybridMultilevel"/>
    <w:tmpl w:val="09649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7686"/>
    <w:multiLevelType w:val="hybridMultilevel"/>
    <w:tmpl w:val="153847FA"/>
    <w:lvl w:ilvl="0" w:tplc="DA16201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02667E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3FB7"/>
    <w:multiLevelType w:val="hybridMultilevel"/>
    <w:tmpl w:val="3E5E0D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067BE"/>
    <w:multiLevelType w:val="hybridMultilevel"/>
    <w:tmpl w:val="667AB046"/>
    <w:lvl w:ilvl="0" w:tplc="DA6CF0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B5653"/>
    <w:multiLevelType w:val="hybridMultilevel"/>
    <w:tmpl w:val="4620B9B0"/>
    <w:lvl w:ilvl="0" w:tplc="71D8F64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DE62AE0"/>
    <w:multiLevelType w:val="hybridMultilevel"/>
    <w:tmpl w:val="3EB86252"/>
    <w:lvl w:ilvl="0" w:tplc="9EA4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F7B47"/>
    <w:multiLevelType w:val="hybridMultilevel"/>
    <w:tmpl w:val="8FC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A3A12"/>
    <w:multiLevelType w:val="hybridMultilevel"/>
    <w:tmpl w:val="EB1296B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DB9165D"/>
    <w:multiLevelType w:val="hybridMultilevel"/>
    <w:tmpl w:val="446685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637F1E"/>
    <w:multiLevelType w:val="hybridMultilevel"/>
    <w:tmpl w:val="8A5A2D80"/>
    <w:lvl w:ilvl="0" w:tplc="F5D46D4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3427F"/>
    <w:multiLevelType w:val="hybridMultilevel"/>
    <w:tmpl w:val="47DACF96"/>
    <w:lvl w:ilvl="0" w:tplc="CF5208A6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716F0135"/>
    <w:multiLevelType w:val="hybridMultilevel"/>
    <w:tmpl w:val="9AEA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72147"/>
    <w:multiLevelType w:val="hybridMultilevel"/>
    <w:tmpl w:val="D0D8664A"/>
    <w:lvl w:ilvl="0" w:tplc="5DD6394E">
      <w:start w:val="1"/>
      <w:numFmt w:val="decimal"/>
      <w:pStyle w:val="Listaosb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8477F60"/>
    <w:multiLevelType w:val="hybridMultilevel"/>
    <w:tmpl w:val="DC4273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96B54C7"/>
    <w:multiLevelType w:val="hybridMultilevel"/>
    <w:tmpl w:val="92F8CFF2"/>
    <w:lvl w:ilvl="0" w:tplc="61427FC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B622A00"/>
    <w:multiLevelType w:val="hybridMultilevel"/>
    <w:tmpl w:val="68D0940A"/>
    <w:lvl w:ilvl="0" w:tplc="C77ED9A8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657FE1"/>
    <w:multiLevelType w:val="hybridMultilevel"/>
    <w:tmpl w:val="53E4ED6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C901F4"/>
    <w:multiLevelType w:val="hybridMultilevel"/>
    <w:tmpl w:val="5876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7"/>
  </w:num>
  <w:num w:numId="12">
    <w:abstractNumId w:val="28"/>
  </w:num>
  <w:num w:numId="13">
    <w:abstractNumId w:val="21"/>
  </w:num>
  <w:num w:numId="14">
    <w:abstractNumId w:val="1"/>
  </w:num>
  <w:num w:numId="15">
    <w:abstractNumId w:val="32"/>
  </w:num>
  <w:num w:numId="16">
    <w:abstractNumId w:val="23"/>
  </w:num>
  <w:num w:numId="17">
    <w:abstractNumId w:val="8"/>
  </w:num>
  <w:num w:numId="18">
    <w:abstractNumId w:val="9"/>
  </w:num>
  <w:num w:numId="19">
    <w:abstractNumId w:val="11"/>
  </w:num>
  <w:num w:numId="20">
    <w:abstractNumId w:val="14"/>
  </w:num>
  <w:num w:numId="21">
    <w:abstractNumId w:val="0"/>
  </w:num>
  <w:num w:numId="22">
    <w:abstractNumId w:val="2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5"/>
  </w:num>
  <w:num w:numId="34">
    <w:abstractNumId w:val="2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04E2D"/>
    <w:rsid w:val="000079FB"/>
    <w:rsid w:val="00011321"/>
    <w:rsid w:val="00035B35"/>
    <w:rsid w:val="00052B4E"/>
    <w:rsid w:val="000641D1"/>
    <w:rsid w:val="0007004D"/>
    <w:rsid w:val="00073839"/>
    <w:rsid w:val="00093CAF"/>
    <w:rsid w:val="000B4076"/>
    <w:rsid w:val="000B4FC2"/>
    <w:rsid w:val="000E4223"/>
    <w:rsid w:val="000F7082"/>
    <w:rsid w:val="0010023F"/>
    <w:rsid w:val="001379E3"/>
    <w:rsid w:val="00161981"/>
    <w:rsid w:val="00170794"/>
    <w:rsid w:val="00187B67"/>
    <w:rsid w:val="001B573E"/>
    <w:rsid w:val="001D00EF"/>
    <w:rsid w:val="001D5794"/>
    <w:rsid w:val="00232961"/>
    <w:rsid w:val="002B600A"/>
    <w:rsid w:val="002B646D"/>
    <w:rsid w:val="002F2698"/>
    <w:rsid w:val="002F3B0F"/>
    <w:rsid w:val="00313D8C"/>
    <w:rsid w:val="003141EB"/>
    <w:rsid w:val="00344B32"/>
    <w:rsid w:val="003608F9"/>
    <w:rsid w:val="00380232"/>
    <w:rsid w:val="00381D02"/>
    <w:rsid w:val="003969F2"/>
    <w:rsid w:val="003E14E1"/>
    <w:rsid w:val="003F4E1A"/>
    <w:rsid w:val="00404B23"/>
    <w:rsid w:val="00435CDB"/>
    <w:rsid w:val="0047214A"/>
    <w:rsid w:val="00482F4C"/>
    <w:rsid w:val="00486262"/>
    <w:rsid w:val="00494DC4"/>
    <w:rsid w:val="004B7502"/>
    <w:rsid w:val="004E07E9"/>
    <w:rsid w:val="004F6D5D"/>
    <w:rsid w:val="005052C3"/>
    <w:rsid w:val="00526C78"/>
    <w:rsid w:val="00544E04"/>
    <w:rsid w:val="00560C39"/>
    <w:rsid w:val="00572C68"/>
    <w:rsid w:val="005A050B"/>
    <w:rsid w:val="005B400D"/>
    <w:rsid w:val="005C1373"/>
    <w:rsid w:val="005C2BCC"/>
    <w:rsid w:val="00600ACB"/>
    <w:rsid w:val="00623CA0"/>
    <w:rsid w:val="006241BE"/>
    <w:rsid w:val="006317C7"/>
    <w:rsid w:val="006738F7"/>
    <w:rsid w:val="006A6220"/>
    <w:rsid w:val="006D2112"/>
    <w:rsid w:val="00727C2B"/>
    <w:rsid w:val="00766977"/>
    <w:rsid w:val="0078274D"/>
    <w:rsid w:val="00784999"/>
    <w:rsid w:val="007A4813"/>
    <w:rsid w:val="007E2FC5"/>
    <w:rsid w:val="007E5AD4"/>
    <w:rsid w:val="008061D3"/>
    <w:rsid w:val="008177FC"/>
    <w:rsid w:val="00870D12"/>
    <w:rsid w:val="008830AA"/>
    <w:rsid w:val="00892D9D"/>
    <w:rsid w:val="008B6D0B"/>
    <w:rsid w:val="008C070F"/>
    <w:rsid w:val="008D6932"/>
    <w:rsid w:val="009063C6"/>
    <w:rsid w:val="009262BD"/>
    <w:rsid w:val="00944825"/>
    <w:rsid w:val="009508D5"/>
    <w:rsid w:val="0097797E"/>
    <w:rsid w:val="00987268"/>
    <w:rsid w:val="009C0B66"/>
    <w:rsid w:val="009C39F4"/>
    <w:rsid w:val="00A10440"/>
    <w:rsid w:val="00A53709"/>
    <w:rsid w:val="00A56009"/>
    <w:rsid w:val="00A562EA"/>
    <w:rsid w:val="00A91838"/>
    <w:rsid w:val="00AA05FD"/>
    <w:rsid w:val="00AC5D7C"/>
    <w:rsid w:val="00AE630A"/>
    <w:rsid w:val="00BC0EED"/>
    <w:rsid w:val="00BC1096"/>
    <w:rsid w:val="00BD309E"/>
    <w:rsid w:val="00BE6944"/>
    <w:rsid w:val="00C568A4"/>
    <w:rsid w:val="00C57C0D"/>
    <w:rsid w:val="00C93C8D"/>
    <w:rsid w:val="00C97C20"/>
    <w:rsid w:val="00D25D71"/>
    <w:rsid w:val="00D66CBB"/>
    <w:rsid w:val="00D75755"/>
    <w:rsid w:val="00D828DC"/>
    <w:rsid w:val="00DB4313"/>
    <w:rsid w:val="00E25630"/>
    <w:rsid w:val="00E512BB"/>
    <w:rsid w:val="00E80505"/>
    <w:rsid w:val="00E81285"/>
    <w:rsid w:val="00E96ACA"/>
    <w:rsid w:val="00EB5690"/>
    <w:rsid w:val="00ED39E2"/>
    <w:rsid w:val="00EF18B8"/>
    <w:rsid w:val="00F05368"/>
    <w:rsid w:val="00F47061"/>
    <w:rsid w:val="00F66B06"/>
    <w:rsid w:val="00F8249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1">
    <w:name w:val="heading 1"/>
    <w:aliases w:val="Nagłówek 1 (Przedmiot)"/>
    <w:basedOn w:val="Normalny"/>
    <w:next w:val="Normalny"/>
    <w:link w:val="Nagwek1Znak"/>
    <w:uiPriority w:val="9"/>
    <w:qFormat/>
    <w:rsid w:val="006D2112"/>
    <w:pPr>
      <w:keepNext/>
      <w:keepLines/>
      <w:numPr>
        <w:numId w:val="24"/>
      </w:numPr>
      <w:spacing w:before="360" w:after="360" w:line="360" w:lineRule="auto"/>
      <w:outlineLvl w:val="0"/>
    </w:pPr>
    <w:rPr>
      <w:rFonts w:ascii="Times New Roman" w:eastAsiaTheme="majorEastAsia" w:hAnsi="Times New Roman" w:cstheme="majorBidi"/>
      <w:sz w:val="24"/>
      <w:szCs w:val="28"/>
      <w:lang w:eastAsia="pl-PL"/>
    </w:rPr>
  </w:style>
  <w:style w:type="paragraph" w:styleId="Nagwek2">
    <w:name w:val="heading 2"/>
    <w:aliases w:val="Nagłówek 2 (Temat/Wykładowcy)"/>
    <w:basedOn w:val="Normalny"/>
    <w:next w:val="Normalny"/>
    <w:link w:val="Nagwek2Znak"/>
    <w:uiPriority w:val="9"/>
    <w:semiHidden/>
    <w:unhideWhenUsed/>
    <w:qFormat/>
    <w:rsid w:val="006D2112"/>
    <w:pPr>
      <w:keepNext/>
      <w:keepLines/>
      <w:spacing w:before="240" w:after="240" w:line="360" w:lineRule="auto"/>
      <w:ind w:left="284" w:firstLine="284"/>
      <w:outlineLvl w:val="1"/>
    </w:pPr>
    <w:rPr>
      <w:rFonts w:ascii="Times New Roman" w:eastAsiaTheme="majorEastAsia" w:hAnsi="Times New Roman" w:cstheme="majorBidi"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B6D0B"/>
    <w:rPr>
      <w:color w:val="0000FF" w:themeColor="hyperlink"/>
      <w:u w:val="single"/>
    </w:rPr>
  </w:style>
  <w:style w:type="paragraph" w:customStyle="1" w:styleId="Listaosb">
    <w:name w:val="Lista osób"/>
    <w:basedOn w:val="Normalny"/>
    <w:qFormat/>
    <w:rsid w:val="008B6D0B"/>
    <w:pPr>
      <w:numPr>
        <w:numId w:val="1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agłówek 1 (Przedmiot) Znak"/>
    <w:basedOn w:val="Domylnaczcionkaakapitu"/>
    <w:link w:val="Nagwek1"/>
    <w:uiPriority w:val="9"/>
    <w:rsid w:val="006D2112"/>
    <w:rPr>
      <w:rFonts w:ascii="Times New Roman" w:eastAsiaTheme="majorEastAsia" w:hAnsi="Times New Roman" w:cstheme="majorBidi"/>
      <w:sz w:val="24"/>
      <w:szCs w:val="28"/>
      <w:lang w:eastAsia="pl-PL"/>
    </w:rPr>
  </w:style>
  <w:style w:type="character" w:customStyle="1" w:styleId="Nagwek2Znak">
    <w:name w:val="Nagłówek 2 Znak"/>
    <w:aliases w:val="Nagłówek 2 (Temat/Wykładowcy) Znak"/>
    <w:basedOn w:val="Domylnaczcionkaakapitu"/>
    <w:link w:val="Nagwek2"/>
    <w:uiPriority w:val="9"/>
    <w:semiHidden/>
    <w:rsid w:val="006D2112"/>
    <w:rPr>
      <w:rFonts w:ascii="Times New Roman" w:eastAsiaTheme="majorEastAsia" w:hAnsi="Times New Roman" w:cstheme="majorBidi"/>
      <w:i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Górecka</cp:lastModifiedBy>
  <cp:revision>2</cp:revision>
  <dcterms:created xsi:type="dcterms:W3CDTF">2025-06-30T09:30:00Z</dcterms:created>
  <dcterms:modified xsi:type="dcterms:W3CDTF">2025-06-30T09:30:00Z</dcterms:modified>
</cp:coreProperties>
</file>