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A6" w:rsidRPr="002313A6" w:rsidRDefault="00041549" w:rsidP="002313A6">
      <w:pPr>
        <w:spacing w:before="120" w:after="120"/>
        <w:contextualSpacing/>
        <w:rPr>
          <w:rFonts w:ascii="Times New Roman" w:hAnsi="Times New Roman" w:cs="Times New Roman"/>
          <w:sz w:val="24"/>
          <w:szCs w:val="24"/>
        </w:rPr>
      </w:pPr>
      <w:bookmarkStart w:id="0" w:name="_GoBack"/>
      <w:bookmarkEnd w:id="0"/>
      <w:r>
        <w:rPr>
          <w:rFonts w:ascii="Times New Roman" w:eastAsia="Times New Roman" w:hAnsi="Times New Roman" w:cs="Times New Roman"/>
          <w:sz w:val="24"/>
          <w:szCs w:val="24"/>
          <w:lang w:eastAsia="pl-PL"/>
        </w:rPr>
        <w:t>OAP-II.420.75.2021</w:t>
      </w:r>
      <w:r w:rsidR="002313A6" w:rsidRPr="002313A6">
        <w:rPr>
          <w:rFonts w:ascii="Times New Roman" w:eastAsia="Times New Roman" w:hAnsi="Times New Roman" w:cs="Times New Roman"/>
          <w:sz w:val="24"/>
          <w:szCs w:val="24"/>
          <w:lang w:eastAsia="pl-PL"/>
        </w:rPr>
        <w:tab/>
      </w:r>
      <w:r w:rsidR="002313A6" w:rsidRPr="002313A6">
        <w:rPr>
          <w:rFonts w:ascii="Times New Roman" w:hAnsi="Times New Roman" w:cs="Times New Roman"/>
          <w:sz w:val="24"/>
          <w:szCs w:val="24"/>
        </w:rPr>
        <w:tab/>
      </w:r>
      <w:r w:rsidR="002313A6" w:rsidRPr="002313A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Kraków, dnia</w:t>
      </w:r>
      <w:r w:rsidR="00F44495">
        <w:rPr>
          <w:rFonts w:ascii="Times New Roman" w:hAnsi="Times New Roman" w:cs="Times New Roman"/>
          <w:sz w:val="24"/>
          <w:szCs w:val="24"/>
        </w:rPr>
        <w:t xml:space="preserve"> 15</w:t>
      </w:r>
      <w:r>
        <w:rPr>
          <w:rFonts w:ascii="Times New Roman" w:hAnsi="Times New Roman" w:cs="Times New Roman"/>
          <w:sz w:val="24"/>
          <w:szCs w:val="24"/>
        </w:rPr>
        <w:t xml:space="preserve"> marca 2022</w:t>
      </w:r>
      <w:r w:rsidR="002313A6" w:rsidRPr="002313A6">
        <w:rPr>
          <w:rFonts w:ascii="Times New Roman" w:hAnsi="Times New Roman" w:cs="Times New Roman"/>
          <w:sz w:val="24"/>
          <w:szCs w:val="24"/>
        </w:rPr>
        <w:t xml:space="preserve"> r.</w:t>
      </w:r>
    </w:p>
    <w:p w:rsidR="002313A6" w:rsidRPr="002313A6" w:rsidRDefault="002313A6" w:rsidP="002313A6">
      <w:pPr>
        <w:spacing w:before="720" w:after="720"/>
        <w:ind w:left="3969"/>
        <w:rPr>
          <w:rFonts w:ascii="Times New Roman" w:hAnsi="Times New Roman" w:cs="Times New Roman"/>
          <w:b/>
          <w:sz w:val="24"/>
          <w:szCs w:val="24"/>
        </w:rPr>
      </w:pPr>
      <w:r w:rsidRPr="002313A6">
        <w:rPr>
          <w:rFonts w:ascii="Times New Roman" w:hAnsi="Times New Roman" w:cs="Times New Roman"/>
          <w:b/>
          <w:sz w:val="24"/>
          <w:szCs w:val="24"/>
        </w:rPr>
        <w:t>Patroni Koordynatorzy</w:t>
      </w:r>
      <w:r w:rsidRPr="002313A6">
        <w:rPr>
          <w:rFonts w:ascii="Times New Roman" w:hAnsi="Times New Roman" w:cs="Times New Roman"/>
          <w:b/>
          <w:sz w:val="24"/>
          <w:szCs w:val="24"/>
        </w:rPr>
        <w:br/>
        <w:t>oraz Patroni praktyk</w:t>
      </w:r>
      <w:r w:rsidRPr="002313A6">
        <w:rPr>
          <w:rFonts w:ascii="Times New Roman" w:hAnsi="Times New Roman" w:cs="Times New Roman"/>
          <w:b/>
          <w:sz w:val="24"/>
          <w:szCs w:val="24"/>
        </w:rPr>
        <w:br/>
        <w:t>aplikantów aplikacji prokuratorskiej</w:t>
      </w:r>
    </w:p>
    <w:p w:rsidR="002313A6" w:rsidRPr="002313A6" w:rsidRDefault="00041549" w:rsidP="002313A6">
      <w:pPr>
        <w:spacing w:before="120" w:after="120"/>
        <w:contextualSpacing/>
        <w:rPr>
          <w:rFonts w:ascii="Times New Roman" w:hAnsi="Times New Roman" w:cs="Times New Roman"/>
          <w:b/>
          <w:i/>
          <w:sz w:val="24"/>
          <w:szCs w:val="24"/>
        </w:rPr>
      </w:pPr>
      <w:r>
        <w:rPr>
          <w:rFonts w:ascii="Times New Roman" w:hAnsi="Times New Roman" w:cs="Times New Roman"/>
          <w:b/>
          <w:i/>
          <w:sz w:val="24"/>
          <w:szCs w:val="24"/>
        </w:rPr>
        <w:t>Dotyczy: praktyk XIII</w:t>
      </w:r>
      <w:r w:rsidR="002313A6" w:rsidRPr="002313A6">
        <w:rPr>
          <w:rFonts w:ascii="Times New Roman" w:hAnsi="Times New Roman" w:cs="Times New Roman"/>
          <w:b/>
          <w:i/>
          <w:sz w:val="24"/>
          <w:szCs w:val="24"/>
        </w:rPr>
        <w:t xml:space="preserve"> rocznika</w:t>
      </w:r>
      <w:r>
        <w:rPr>
          <w:rFonts w:ascii="Times New Roman" w:hAnsi="Times New Roman" w:cs="Times New Roman"/>
          <w:b/>
          <w:i/>
          <w:sz w:val="24"/>
          <w:szCs w:val="24"/>
        </w:rPr>
        <w:t xml:space="preserve"> aplikacji prokuratorskiej po 6</w:t>
      </w:r>
      <w:r w:rsidR="002313A6" w:rsidRPr="002313A6">
        <w:rPr>
          <w:rFonts w:ascii="Times New Roman" w:hAnsi="Times New Roman" w:cs="Times New Roman"/>
          <w:b/>
          <w:i/>
          <w:sz w:val="24"/>
          <w:szCs w:val="24"/>
        </w:rPr>
        <w:t xml:space="preserve"> zjeździe</w:t>
      </w:r>
    </w:p>
    <w:p w:rsidR="002313A6" w:rsidRPr="002313A6" w:rsidRDefault="002313A6" w:rsidP="002313A6">
      <w:pPr>
        <w:spacing w:before="120" w:after="120"/>
        <w:contextualSpacing/>
        <w:rPr>
          <w:rFonts w:ascii="Times New Roman" w:hAnsi="Times New Roman" w:cs="Times New Roman"/>
          <w:i/>
          <w:sz w:val="24"/>
          <w:szCs w:val="24"/>
        </w:rPr>
      </w:pPr>
    </w:p>
    <w:p w:rsidR="002313A6" w:rsidRPr="00041549" w:rsidRDefault="002313A6" w:rsidP="002313A6">
      <w:pPr>
        <w:spacing w:before="120" w:after="120"/>
        <w:ind w:firstLine="426"/>
        <w:jc w:val="both"/>
        <w:rPr>
          <w:rFonts w:ascii="Times New Roman" w:hAnsi="Times New Roman" w:cs="Times New Roman"/>
          <w:b/>
          <w:sz w:val="24"/>
          <w:szCs w:val="24"/>
        </w:rPr>
      </w:pPr>
      <w:r w:rsidRPr="002313A6">
        <w:rPr>
          <w:rFonts w:ascii="Times New Roman" w:hAnsi="Times New Roman" w:cs="Times New Roman"/>
          <w:sz w:val="24"/>
          <w:szCs w:val="24"/>
        </w:rPr>
        <w:t>Na podstawie § 2</w:t>
      </w:r>
      <w:r w:rsidR="00041549">
        <w:rPr>
          <w:rFonts w:ascii="Times New Roman" w:hAnsi="Times New Roman" w:cs="Times New Roman"/>
          <w:sz w:val="24"/>
          <w:szCs w:val="24"/>
        </w:rPr>
        <w:t>, 9 i 10</w:t>
      </w:r>
      <w:r w:rsidRPr="002313A6">
        <w:rPr>
          <w:rFonts w:ascii="Times New Roman" w:hAnsi="Times New Roman" w:cs="Times New Roman"/>
          <w:sz w:val="24"/>
          <w:szCs w:val="24"/>
        </w:rPr>
        <w:t xml:space="preserve"> zarządzenia Dyrektora Krajowej Szkoły Sądownictwa i Prokuratury w Krakowie Nr 132/2019 z dnia 15 marca 2019 r. </w:t>
      </w:r>
      <w:r w:rsidRPr="002313A6">
        <w:rPr>
          <w:rFonts w:ascii="Times New Roman" w:hAnsi="Times New Roman" w:cs="Times New Roman"/>
          <w:i/>
          <w:sz w:val="24"/>
          <w:szCs w:val="24"/>
        </w:rPr>
        <w:t>w sprawie szczegółowych zasad odbywania praktyk przez aplikantów aplikacji sędziowskiej i prokuratorskiej</w:t>
      </w:r>
      <w:r w:rsidRPr="002313A6">
        <w:rPr>
          <w:rFonts w:ascii="Times New Roman" w:hAnsi="Times New Roman" w:cs="Times New Roman"/>
          <w:sz w:val="24"/>
          <w:szCs w:val="24"/>
        </w:rPr>
        <w:t xml:space="preserve"> uprzejmie przedstawiam szczegółowy zakres tematyczny, który winien być przedmiotem praktyk aplikantów aplikacji prokuratorskie</w:t>
      </w:r>
      <w:r w:rsidR="00041549">
        <w:rPr>
          <w:rFonts w:ascii="Times New Roman" w:hAnsi="Times New Roman" w:cs="Times New Roman"/>
          <w:sz w:val="24"/>
          <w:szCs w:val="24"/>
        </w:rPr>
        <w:t xml:space="preserve">j, odbywanych </w:t>
      </w:r>
      <w:r w:rsidR="00041549" w:rsidRPr="00041549">
        <w:rPr>
          <w:rFonts w:ascii="Times New Roman" w:hAnsi="Times New Roman" w:cs="Times New Roman"/>
          <w:b/>
          <w:sz w:val="24"/>
          <w:szCs w:val="24"/>
        </w:rPr>
        <w:t>od 4</w:t>
      </w:r>
      <w:r w:rsidRPr="00041549">
        <w:rPr>
          <w:rFonts w:ascii="Times New Roman" w:hAnsi="Times New Roman" w:cs="Times New Roman"/>
          <w:b/>
          <w:sz w:val="24"/>
          <w:szCs w:val="24"/>
        </w:rPr>
        <w:t xml:space="preserve"> do </w:t>
      </w:r>
      <w:r w:rsidR="00041549" w:rsidRPr="00041549">
        <w:rPr>
          <w:rFonts w:ascii="Times New Roman" w:hAnsi="Times New Roman" w:cs="Times New Roman"/>
          <w:b/>
          <w:sz w:val="24"/>
          <w:szCs w:val="24"/>
        </w:rPr>
        <w:t>22 lipca 2022</w:t>
      </w:r>
      <w:r w:rsidRPr="00041549">
        <w:rPr>
          <w:rFonts w:ascii="Times New Roman" w:hAnsi="Times New Roman" w:cs="Times New Roman"/>
          <w:b/>
          <w:sz w:val="24"/>
          <w:szCs w:val="24"/>
        </w:rPr>
        <w:t xml:space="preserve"> r. w prokuraturach rejonowych (3 tygodnie). </w:t>
      </w:r>
    </w:p>
    <w:p w:rsidR="002313A6" w:rsidRPr="002313A6" w:rsidRDefault="002313A6" w:rsidP="002313A6">
      <w:pPr>
        <w:spacing w:before="120" w:after="120"/>
        <w:ind w:firstLine="426"/>
        <w:jc w:val="both"/>
        <w:rPr>
          <w:rFonts w:ascii="Times New Roman" w:hAnsi="Times New Roman" w:cs="Times New Roman"/>
          <w:sz w:val="24"/>
          <w:szCs w:val="24"/>
        </w:rPr>
      </w:pPr>
      <w:r w:rsidRPr="002313A6">
        <w:rPr>
          <w:rFonts w:ascii="Times New Roman" w:hAnsi="Times New Roman" w:cs="Times New Roman"/>
          <w:sz w:val="24"/>
          <w:szCs w:val="24"/>
        </w:rPr>
        <w:t xml:space="preserve">Zasadniczym celem praktyk jest zaznajomienie aplikantów z czynnościami i metodyką pracy patrona oraz doskonalenie umiejętności wykorzystania wiedzy teoretycznej i znajomości orzecznictwa. Każdorazowo praktyka winna utrwalić wiedzę zdobytą podczas bezpośrednio poprzedzającego ją zjazdu. </w:t>
      </w:r>
    </w:p>
    <w:p w:rsidR="002313A6" w:rsidRDefault="00041549" w:rsidP="002313A6">
      <w:pPr>
        <w:spacing w:before="120" w:after="120"/>
        <w:ind w:firstLine="426"/>
        <w:jc w:val="both"/>
        <w:rPr>
          <w:rFonts w:ascii="Times New Roman" w:hAnsi="Times New Roman" w:cs="Times New Roman"/>
          <w:sz w:val="24"/>
          <w:szCs w:val="24"/>
        </w:rPr>
      </w:pPr>
      <w:r w:rsidRPr="00041549">
        <w:rPr>
          <w:rFonts w:ascii="Times New Roman" w:hAnsi="Times New Roman" w:cs="Times New Roman"/>
          <w:sz w:val="24"/>
          <w:szCs w:val="24"/>
        </w:rPr>
        <w:t>Przedmiotem 6</w:t>
      </w:r>
      <w:r w:rsidR="002313A6" w:rsidRPr="00041549">
        <w:rPr>
          <w:rFonts w:ascii="Times New Roman" w:hAnsi="Times New Roman" w:cs="Times New Roman"/>
          <w:sz w:val="24"/>
          <w:szCs w:val="24"/>
        </w:rPr>
        <w:t xml:space="preserve"> zjazdu </w:t>
      </w:r>
      <w:r w:rsidRPr="00041549">
        <w:rPr>
          <w:rFonts w:ascii="Times New Roman" w:hAnsi="Times New Roman" w:cs="Times New Roman"/>
          <w:sz w:val="24"/>
          <w:szCs w:val="24"/>
        </w:rPr>
        <w:t>XIII</w:t>
      </w:r>
      <w:r w:rsidR="002313A6" w:rsidRPr="00041549">
        <w:rPr>
          <w:rFonts w:ascii="Times New Roman" w:hAnsi="Times New Roman" w:cs="Times New Roman"/>
          <w:sz w:val="24"/>
          <w:szCs w:val="24"/>
        </w:rPr>
        <w:t xml:space="preserve"> rocznika aplikacji prokuratorskiej</w:t>
      </w:r>
      <w:r w:rsidRPr="00041549">
        <w:rPr>
          <w:rFonts w:ascii="Times New Roman" w:hAnsi="Times New Roman" w:cs="Times New Roman"/>
          <w:sz w:val="24"/>
          <w:szCs w:val="24"/>
        </w:rPr>
        <w:t>, który odbędzie się w dniach 27 czerwca – 1 lipca  2022</w:t>
      </w:r>
      <w:r w:rsidR="002313A6" w:rsidRPr="00041549">
        <w:rPr>
          <w:rFonts w:ascii="Times New Roman" w:hAnsi="Times New Roman" w:cs="Times New Roman"/>
          <w:sz w:val="24"/>
          <w:szCs w:val="24"/>
        </w:rPr>
        <w:t xml:space="preserve"> r., </w:t>
      </w:r>
      <w:r w:rsidRPr="00041549">
        <w:rPr>
          <w:rFonts w:ascii="Times New Roman" w:hAnsi="Times New Roman" w:cs="Times New Roman"/>
          <w:sz w:val="24"/>
          <w:szCs w:val="24"/>
        </w:rPr>
        <w:t>będzie</w:t>
      </w:r>
      <w:r w:rsidR="002313A6" w:rsidRPr="002313A6">
        <w:rPr>
          <w:rFonts w:ascii="Times New Roman" w:hAnsi="Times New Roman" w:cs="Times New Roman"/>
          <w:sz w:val="24"/>
          <w:szCs w:val="24"/>
        </w:rPr>
        <w:t>:</w:t>
      </w:r>
    </w:p>
    <w:p w:rsidR="00C504E4" w:rsidRDefault="00C504E4" w:rsidP="00C504E4">
      <w:pPr>
        <w:numPr>
          <w:ilvl w:val="0"/>
          <w:numId w:val="6"/>
        </w:numPr>
        <w:spacing w:after="120"/>
        <w:jc w:val="both"/>
      </w:pPr>
      <w:r>
        <w:t>Prawa człowieka w postępowaniu karnym</w:t>
      </w:r>
    </w:p>
    <w:p w:rsidR="00C504E4" w:rsidRDefault="00C504E4" w:rsidP="00C504E4">
      <w:pPr>
        <w:spacing w:after="120"/>
        <w:jc w:val="both"/>
      </w:pPr>
      <w:r>
        <w:t xml:space="preserve">Orzecznictwo Europejskiego Trybunału Praw Człowieka – z uwzględnieniem spraw polskich – dotyczące problematyki karnej. Zasady proporcjonalności i rzeczywistej ochrony praw człowieka, prawo do życia, zakaz tortur, prawo do wolności i </w:t>
      </w:r>
      <w:r w:rsidR="00041549">
        <w:t>bezpieczeństwa osobistego</w:t>
      </w:r>
      <w:r>
        <w:t xml:space="preserve"> (z wyjątkiem nadmiernej długości tymczasowego aresztowania – por. zjazd VII), prawo do rzetelnego procesu (z wyjątkiem przewlekłości postępowania – por. zjazd XVII). </w:t>
      </w:r>
    </w:p>
    <w:p w:rsidR="00C504E4" w:rsidRDefault="00C504E4" w:rsidP="00C504E4">
      <w:pPr>
        <w:numPr>
          <w:ilvl w:val="0"/>
          <w:numId w:val="6"/>
        </w:numPr>
        <w:spacing w:after="120"/>
        <w:jc w:val="both"/>
      </w:pPr>
      <w:r>
        <w:t>Prawo karne materialne</w:t>
      </w:r>
    </w:p>
    <w:p w:rsidR="00C504E4" w:rsidRDefault="00C504E4" w:rsidP="00C504E4">
      <w:pPr>
        <w:spacing w:after="120"/>
        <w:jc w:val="both"/>
      </w:pPr>
      <w:r>
        <w:t>Okoliczności wyłączające i umniejszające winę. Okoliczności wyłączające bezprawność czynu.</w:t>
      </w:r>
    </w:p>
    <w:p w:rsidR="00C504E4" w:rsidRDefault="00C504E4" w:rsidP="00C504E4">
      <w:pPr>
        <w:spacing w:after="120"/>
        <w:jc w:val="both"/>
      </w:pPr>
      <w:r>
        <w:t>Zbieg przestępstw i zbieg przepisów ustawy.</w:t>
      </w:r>
    </w:p>
    <w:p w:rsidR="00C504E4" w:rsidRDefault="00C504E4" w:rsidP="00C504E4">
      <w:pPr>
        <w:numPr>
          <w:ilvl w:val="0"/>
          <w:numId w:val="6"/>
        </w:numPr>
        <w:spacing w:after="120"/>
        <w:jc w:val="both"/>
      </w:pPr>
      <w:r>
        <w:t>Prawo karne procesowe</w:t>
      </w:r>
    </w:p>
    <w:p w:rsidR="00C504E4" w:rsidRDefault="00C504E4" w:rsidP="00C504E4">
      <w:pPr>
        <w:spacing w:after="120"/>
        <w:jc w:val="both"/>
      </w:pPr>
      <w:r>
        <w:t xml:space="preserve">Kontynuacja zajęć z zakresu form postępowania przygotowawczego: śledztwo, dochodzenie. </w:t>
      </w:r>
    </w:p>
    <w:p w:rsidR="00C504E4" w:rsidRDefault="00C504E4" w:rsidP="00C504E4">
      <w:pPr>
        <w:spacing w:after="120"/>
        <w:jc w:val="both"/>
      </w:pPr>
      <w:r>
        <w:t xml:space="preserve">Czynności zastrzeżone dla prokuratora w śledztwie. Środki zapobiegawcze stosowane przez prokuratora. Kary porządkowe. </w:t>
      </w:r>
    </w:p>
    <w:p w:rsidR="00C504E4" w:rsidRDefault="00C504E4" w:rsidP="00C504E4">
      <w:pPr>
        <w:spacing w:after="120"/>
        <w:jc w:val="both"/>
      </w:pPr>
      <w:r>
        <w:t>Tymczasowe zajęcie mienia. Zabezpieczenie majątkowe.</w:t>
      </w:r>
    </w:p>
    <w:p w:rsidR="00C504E4" w:rsidRDefault="00C504E4" w:rsidP="00C504E4">
      <w:pPr>
        <w:spacing w:after="120"/>
        <w:ind w:firstLine="708"/>
        <w:jc w:val="both"/>
      </w:pPr>
    </w:p>
    <w:p w:rsidR="00C504E4" w:rsidRDefault="00C504E4" w:rsidP="00C504E4">
      <w:pPr>
        <w:spacing w:after="120"/>
        <w:ind w:firstLine="708"/>
        <w:jc w:val="both"/>
      </w:pPr>
    </w:p>
    <w:p w:rsidR="00C504E4" w:rsidRPr="002313A6" w:rsidRDefault="00C504E4" w:rsidP="002313A6">
      <w:pPr>
        <w:spacing w:before="120" w:after="120"/>
        <w:ind w:firstLine="426"/>
        <w:jc w:val="both"/>
        <w:rPr>
          <w:rFonts w:ascii="Times New Roman" w:hAnsi="Times New Roman" w:cs="Times New Roman"/>
          <w:sz w:val="24"/>
          <w:szCs w:val="24"/>
        </w:rPr>
      </w:pPr>
    </w:p>
    <w:p w:rsidR="002313A6" w:rsidRPr="002313A6" w:rsidRDefault="002313A6" w:rsidP="002313A6">
      <w:pPr>
        <w:spacing w:before="120" w:after="120"/>
        <w:jc w:val="both"/>
        <w:rPr>
          <w:rFonts w:ascii="Times New Roman" w:hAnsi="Times New Roman" w:cs="Times New Roman"/>
          <w:i/>
          <w:sz w:val="24"/>
          <w:szCs w:val="24"/>
        </w:rPr>
      </w:pPr>
      <w:r w:rsidRPr="002313A6">
        <w:rPr>
          <w:rFonts w:ascii="Times New Roman" w:eastAsia="Times New Roman" w:hAnsi="Times New Roman" w:cs="Times New Roman"/>
          <w:b/>
          <w:sz w:val="24"/>
          <w:szCs w:val="24"/>
          <w:lang w:eastAsia="pl-PL"/>
        </w:rPr>
        <w:t>Patroni praktyk winni zatem zadbać, aby aplikanci w pierwszej kolejności wykonywali czynności pod kątem:</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 xml:space="preserve">oceny prawidłowości zastosowania tymczasowego zajęcia mienia ruchomego (art. 295 k.p.k.) </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 xml:space="preserve">gromadzenia i oceny dokumentacji procesowej wskazującej na zabezpieczenie mienia ruchomego lub dokumentującej poszukiwanie i ujawnianie składników majątkowych podejrzanego (bazy danych, wypisy z ksiąg wieczystych, akty notarialne, dokumentacja bankowa itd.), </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 xml:space="preserve">analizy materiałów zebranych w toku postępowania przygotowawczego celem ustalenia, czy istnieją przesłanki do wydania postanowienia o zabezpieczeniu majątkowym (art. 291 k.p.k.), a także analiza akt w zakresie sposobu zabezpieczenia (art. 292 k.p.k.), </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b/>
          <w:i/>
          <w:sz w:val="24"/>
          <w:szCs w:val="24"/>
          <w:lang w:eastAsia="pl-PL"/>
        </w:rPr>
        <w:t>sporządzania postanowień o zabezpieczeniu majątkowym</w:t>
      </w:r>
      <w:r w:rsidRPr="002313A6">
        <w:rPr>
          <w:rFonts w:ascii="Times New Roman" w:eastAsia="Times New Roman" w:hAnsi="Times New Roman" w:cs="Times New Roman"/>
          <w:i/>
          <w:sz w:val="24"/>
          <w:szCs w:val="24"/>
          <w:lang w:eastAsia="pl-PL"/>
        </w:rPr>
        <w:t xml:space="preserve"> ze szczególnym uwzględnieniem właściwego określania zakresu kwotowego i sposobu zabezpieczenia (art. 293 § 2 k.p.k.) oraz uzasadniania decyzji, a także podkreśleniem znaczenia zmian ustawodawczych zarówno w odniesieniu do zakresu i przedmiotu zabezpieczenia, jak i do trybu wykonania decyzji,</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sporządzania notatki analitycznej uzasadniającej stanowisko o braku podstaw lub konieczności zastosowania zabezpieczenia majątkowego – w całości lub w określonej formie,</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 xml:space="preserve">oceny zasadności zażaleń na postanowienia prokuratora o zastosowaniu zabezpieczenia majątkowego, </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analizy materiałów zebranych w toku postępowania przygotowawczego, w którym zastosowano zabezpieczenie majątkowe, pod kątem potrzeby uchylenia decyzji w </w:t>
      </w:r>
      <w:r w:rsidR="00F44495">
        <w:rPr>
          <w:rFonts w:ascii="Times New Roman" w:eastAsia="Times New Roman" w:hAnsi="Times New Roman" w:cs="Times New Roman"/>
          <w:i/>
          <w:sz w:val="24"/>
          <w:szCs w:val="24"/>
          <w:lang w:eastAsia="pl-PL"/>
        </w:rPr>
        <w:t>całości lub części (art. 291 § 5a</w:t>
      </w:r>
      <w:r w:rsidRPr="002313A6">
        <w:rPr>
          <w:rFonts w:ascii="Times New Roman" w:eastAsia="Times New Roman" w:hAnsi="Times New Roman" w:cs="Times New Roman"/>
          <w:i/>
          <w:sz w:val="24"/>
          <w:szCs w:val="24"/>
          <w:lang w:eastAsia="pl-PL"/>
        </w:rPr>
        <w:t xml:space="preserve"> k.p.k.),</w:t>
      </w:r>
    </w:p>
    <w:p w:rsidR="002313A6" w:rsidRPr="002313A6" w:rsidRDefault="002313A6" w:rsidP="002313A6">
      <w:pPr>
        <w:spacing w:before="120" w:after="120"/>
        <w:contextualSpacing/>
        <w:jc w:val="both"/>
        <w:rPr>
          <w:rFonts w:ascii="Times New Roman" w:eastAsia="Times New Roman" w:hAnsi="Times New Roman" w:cs="Times New Roman"/>
          <w:b/>
          <w:sz w:val="24"/>
          <w:szCs w:val="24"/>
          <w:lang w:eastAsia="pl-PL"/>
        </w:rPr>
      </w:pPr>
      <w:r w:rsidRPr="002313A6">
        <w:rPr>
          <w:rFonts w:ascii="Times New Roman" w:eastAsia="Times New Roman" w:hAnsi="Times New Roman" w:cs="Times New Roman"/>
          <w:b/>
          <w:sz w:val="24"/>
          <w:szCs w:val="24"/>
          <w:lang w:eastAsia="pl-PL"/>
        </w:rPr>
        <w:t>a nadto:</w:t>
      </w:r>
    </w:p>
    <w:p w:rsidR="002313A6" w:rsidRPr="002313A6" w:rsidRDefault="002313A6" w:rsidP="002313A6">
      <w:pPr>
        <w:numPr>
          <w:ilvl w:val="0"/>
          <w:numId w:val="4"/>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oceny zasadności stosowania środków zapobiegawczych i wyboru właściwego środka z uwagi na zdiagnozowane zagrożenia dla prawidłowości biegu postępowania przygotowawczego,</w:t>
      </w:r>
    </w:p>
    <w:p w:rsidR="002313A6" w:rsidRPr="002313A6" w:rsidRDefault="002313A6" w:rsidP="002313A6">
      <w:pPr>
        <w:numPr>
          <w:ilvl w:val="0"/>
          <w:numId w:val="4"/>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zapoznawania się z obowiązującymi schematami decyzji o stosowaniu wolnościowych środków zapobiegawczych, z uwzględnieniem możliwości ich łączenia,</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b/>
          <w:i/>
          <w:sz w:val="24"/>
          <w:szCs w:val="24"/>
          <w:lang w:eastAsia="pl-PL"/>
        </w:rPr>
        <w:t xml:space="preserve">opracowywania postanowień o zastosowaniu </w:t>
      </w:r>
      <w:r w:rsidR="00122FE6">
        <w:rPr>
          <w:rFonts w:ascii="Times New Roman" w:eastAsia="Times New Roman" w:hAnsi="Times New Roman" w:cs="Times New Roman"/>
          <w:b/>
          <w:i/>
          <w:sz w:val="24"/>
          <w:szCs w:val="24"/>
          <w:lang w:eastAsia="pl-PL"/>
        </w:rPr>
        <w:t xml:space="preserve">wolnościowych </w:t>
      </w:r>
      <w:r w:rsidRPr="002313A6">
        <w:rPr>
          <w:rFonts w:ascii="Times New Roman" w:eastAsia="Times New Roman" w:hAnsi="Times New Roman" w:cs="Times New Roman"/>
          <w:b/>
          <w:i/>
          <w:sz w:val="24"/>
          <w:szCs w:val="24"/>
          <w:lang w:eastAsia="pl-PL"/>
        </w:rPr>
        <w:t>środków zapobiegawczych</w:t>
      </w:r>
      <w:r w:rsidRPr="002313A6">
        <w:rPr>
          <w:rFonts w:ascii="Times New Roman" w:eastAsia="Times New Roman" w:hAnsi="Times New Roman" w:cs="Times New Roman"/>
          <w:i/>
          <w:sz w:val="24"/>
          <w:szCs w:val="24"/>
          <w:lang w:eastAsia="pl-PL"/>
        </w:rPr>
        <w:t>, w tym poręczenia majątkowego (art. 266 k.p.k.), poręczenia społecznego (art. 271 k.p.k.), poręczenia osoby godnej zaufania (art. 272 k.p.k.), dozoru Policji (art. 275 k.p.k.), nakazu opuszczenia lokalu mieszkalnego (art. 275a k.p.k.), zawieszenia w czynnościach (art. 276 k.p.k.), zakazu opuszczania kraju (art. 277 k.p.k.),</w:t>
      </w:r>
      <w:r w:rsidR="00F44495">
        <w:rPr>
          <w:rFonts w:ascii="Times New Roman" w:eastAsia="Times New Roman" w:hAnsi="Times New Roman" w:cs="Times New Roman"/>
          <w:i/>
          <w:sz w:val="24"/>
          <w:szCs w:val="24"/>
          <w:lang w:eastAsia="pl-PL"/>
        </w:rPr>
        <w:t>a także środków zapobiegawczych przewidzianych w art.276a k.p.k.</w:t>
      </w:r>
      <w:r w:rsidRPr="002313A6">
        <w:rPr>
          <w:rFonts w:ascii="Times New Roman" w:eastAsia="Times New Roman" w:hAnsi="Times New Roman" w:cs="Times New Roman"/>
          <w:i/>
          <w:sz w:val="24"/>
          <w:szCs w:val="24"/>
          <w:lang w:eastAsia="pl-PL"/>
        </w:rPr>
        <w:t xml:space="preserve"> </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lastRenderedPageBreak/>
        <w:t>uzasadniania tych decyzji – zarówno w warstwie zasadności zastosowania, jak i  wyboru konkretnego środka, tak aby uzasadnienie nie sprowadzało się wyłącznie do powtórzenia tekstu ustawy ( art. 251 § 3 k.p.k.),</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 xml:space="preserve">oceny zasadności zażaleń na postanowienia prokuratora o zastosowaniu środków zapobiegawczych, </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analizy zebranych materiałów pod kątem potrzeby zmiany lub uchylenia środka zapobiegawczego (art. 253 k.p.k.),</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opracowania decyzji o odmowie uwzględnienia wniosku w przedmiocie uchylenia lub zmiany środka zapobiegawczego, w tym także – decyzji częściowo uwzględniającej wniosek (art. 254 k.p.k.),</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doręczania ww. postanowień odpowiednim instytucjom, a w tym: pracodawcy, właściwemu organowi samorządu zawodowego albo instytucji, Komendzie Głównej Policji (§ 198 Regulaminu), Komendzie Głównej Straży Granicznej (§ 197 Regulaminu),</w:t>
      </w:r>
    </w:p>
    <w:p w:rsidR="002313A6" w:rsidRPr="002313A6" w:rsidRDefault="002313A6" w:rsidP="002313A6">
      <w:pPr>
        <w:keepNext/>
        <w:spacing w:before="120" w:after="120"/>
        <w:contextualSpacing/>
        <w:jc w:val="both"/>
        <w:rPr>
          <w:rFonts w:ascii="Times New Roman" w:eastAsia="Times New Roman" w:hAnsi="Times New Roman" w:cs="Times New Roman"/>
          <w:sz w:val="24"/>
          <w:szCs w:val="24"/>
          <w:lang w:eastAsia="pl-PL"/>
        </w:rPr>
      </w:pPr>
      <w:r w:rsidRPr="002313A6">
        <w:rPr>
          <w:rFonts w:ascii="Times New Roman" w:eastAsia="Times New Roman" w:hAnsi="Times New Roman" w:cs="Times New Roman"/>
          <w:sz w:val="24"/>
          <w:szCs w:val="24"/>
          <w:lang w:eastAsia="pl-PL"/>
        </w:rPr>
        <w:t>oraz:</w:t>
      </w:r>
    </w:p>
    <w:p w:rsidR="002313A6" w:rsidRP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analizy materiałów zebranych w toku postępowania przygotowawczego celem ustalenia, czy istnieją przesłanki do wydania postanowienia o nałożeniu na świadka, biegłego, tłumacza lub specjalistę kary pieniężnej (art. 285 k.p.k.) lub o uchyleniu takiej kary (art. 286 k.p.k.) oraz sporządzania takich postanowień wraz z uzasadnieniem,</w:t>
      </w:r>
    </w:p>
    <w:p w:rsidR="002313A6" w:rsidRDefault="002313A6" w:rsidP="002313A6">
      <w:pPr>
        <w:numPr>
          <w:ilvl w:val="0"/>
          <w:numId w:val="5"/>
        </w:numPr>
        <w:spacing w:before="120" w:after="120"/>
        <w:contextualSpacing/>
        <w:jc w:val="both"/>
        <w:rPr>
          <w:rFonts w:ascii="Times New Roman" w:eastAsia="Times New Roman" w:hAnsi="Times New Roman" w:cs="Times New Roman"/>
          <w:i/>
          <w:sz w:val="24"/>
          <w:szCs w:val="24"/>
          <w:lang w:eastAsia="pl-PL"/>
        </w:rPr>
      </w:pPr>
      <w:r w:rsidRPr="002313A6">
        <w:rPr>
          <w:rFonts w:ascii="Times New Roman" w:eastAsia="Times New Roman" w:hAnsi="Times New Roman" w:cs="Times New Roman"/>
          <w:i/>
          <w:sz w:val="24"/>
          <w:szCs w:val="24"/>
          <w:lang w:eastAsia="pl-PL"/>
        </w:rPr>
        <w:t>oceny zasadności zażaleń na postanowienia prokuratora o nałożeniu kary pieniężnej.</w:t>
      </w:r>
    </w:p>
    <w:p w:rsidR="00122FE6" w:rsidRPr="002313A6" w:rsidRDefault="00122FE6" w:rsidP="00122FE6">
      <w:pPr>
        <w:spacing w:before="120" w:after="120"/>
        <w:ind w:left="720"/>
        <w:contextualSpacing/>
        <w:jc w:val="both"/>
        <w:rPr>
          <w:rFonts w:ascii="Times New Roman" w:eastAsia="Times New Roman" w:hAnsi="Times New Roman" w:cs="Times New Roman"/>
          <w:i/>
          <w:sz w:val="24"/>
          <w:szCs w:val="24"/>
          <w:lang w:eastAsia="pl-PL"/>
        </w:rPr>
      </w:pPr>
    </w:p>
    <w:p w:rsidR="002313A6" w:rsidRPr="002313A6" w:rsidRDefault="002313A6" w:rsidP="002313A6">
      <w:pPr>
        <w:spacing w:before="120" w:after="120"/>
        <w:ind w:firstLine="360"/>
        <w:jc w:val="both"/>
        <w:rPr>
          <w:rFonts w:ascii="Times New Roman" w:eastAsia="Times New Roman" w:hAnsi="Times New Roman" w:cs="Times New Roman"/>
          <w:sz w:val="24"/>
          <w:szCs w:val="24"/>
          <w:lang w:eastAsia="pl-PL"/>
        </w:rPr>
      </w:pPr>
      <w:r w:rsidRPr="002313A6">
        <w:rPr>
          <w:rFonts w:ascii="Times New Roman" w:eastAsia="Times New Roman" w:hAnsi="Times New Roman" w:cs="Times New Roman"/>
          <w:sz w:val="24"/>
          <w:szCs w:val="24"/>
          <w:lang w:eastAsia="pl-PL"/>
        </w:rPr>
        <w:t>Przy wykonywaniu powyższych czynności aplikantom należy zwracać uwagę nie tylko na przepisy Kodeksu postępowania karnego i oparte na nich orzecznictwo, ale również na zasady wynikające z Regulaminu wewnętrznego urzędowania powszechnych jednostek organizacyjnych prokuratury oraz wytycznych i pism instrukcyjnych. W szczególności w kontekście zasad stosowania zabezpieczenia majątkowego należy omówić z aplikantami, na konkretnych przykładach, praktyczne uwarunkowania wynikające z takich wytycznych i poleceń dla poszczególnych rodzajów przestępstw, a także przedstawić uzgodnienia z kooperantami procesowymi co do sposobu realizacji polecenia gromadzenia informacji o stanie majątkowym osób na etapie przed formalnym przedstawieniem zarzutu.</w:t>
      </w:r>
    </w:p>
    <w:p w:rsidR="002313A6" w:rsidRPr="002313A6" w:rsidRDefault="002313A6" w:rsidP="002313A6">
      <w:pPr>
        <w:spacing w:before="120" w:after="120"/>
        <w:ind w:firstLine="360"/>
        <w:jc w:val="both"/>
        <w:rPr>
          <w:rFonts w:ascii="Times New Roman" w:eastAsia="Times New Roman" w:hAnsi="Times New Roman" w:cs="Times New Roman"/>
          <w:sz w:val="24"/>
          <w:szCs w:val="24"/>
          <w:lang w:eastAsia="pl-PL"/>
        </w:rPr>
      </w:pPr>
      <w:r w:rsidRPr="002313A6">
        <w:rPr>
          <w:rFonts w:ascii="Times New Roman" w:eastAsia="Times New Roman" w:hAnsi="Times New Roman" w:cs="Times New Roman"/>
          <w:sz w:val="24"/>
          <w:szCs w:val="24"/>
          <w:lang w:eastAsia="pl-PL"/>
        </w:rPr>
        <w:t>O ile może służyć to realizacji celu praktyk, aplikanci powinni móc pracować także na aktach spraw, którymi ich patron się nie zajmuje, a także na aktach spraw zakończonych.</w:t>
      </w:r>
    </w:p>
    <w:p w:rsidR="002313A6" w:rsidRPr="002313A6" w:rsidRDefault="002313A6" w:rsidP="002313A6">
      <w:pPr>
        <w:spacing w:before="120" w:after="120"/>
        <w:ind w:firstLine="360"/>
        <w:jc w:val="both"/>
        <w:rPr>
          <w:rFonts w:ascii="Times New Roman" w:eastAsia="Times New Roman" w:hAnsi="Times New Roman" w:cs="Times New Roman"/>
          <w:sz w:val="24"/>
          <w:szCs w:val="24"/>
          <w:lang w:eastAsia="pl-PL"/>
        </w:rPr>
      </w:pPr>
      <w:r w:rsidRPr="002313A6">
        <w:rPr>
          <w:rFonts w:ascii="Times New Roman" w:eastAsia="Times New Roman" w:hAnsi="Times New Roman" w:cs="Times New Roman"/>
          <w:sz w:val="24"/>
          <w:szCs w:val="24"/>
          <w:lang w:eastAsia="pl-PL"/>
        </w:rPr>
        <w:t>Niezależnie od powyższego Patroni proszeni są o umożliwienie aplikantom udziału w rozprawach i posiedzeniach sądu, a także w oględzinach miejsca zdarzenia.</w:t>
      </w:r>
    </w:p>
    <w:p w:rsidR="002313A6" w:rsidRPr="002313A6" w:rsidRDefault="002313A6" w:rsidP="002313A6">
      <w:pPr>
        <w:spacing w:before="120" w:after="120"/>
        <w:ind w:firstLine="360"/>
        <w:jc w:val="both"/>
        <w:rPr>
          <w:rFonts w:ascii="Times New Roman" w:eastAsia="Times New Roman" w:hAnsi="Times New Roman" w:cs="Times New Roman"/>
          <w:sz w:val="24"/>
          <w:szCs w:val="24"/>
          <w:lang w:eastAsia="pl-PL"/>
        </w:rPr>
      </w:pPr>
      <w:r w:rsidRPr="002313A6">
        <w:rPr>
          <w:rFonts w:ascii="Times New Roman" w:eastAsia="Times New Roman" w:hAnsi="Times New Roman" w:cs="Times New Roman"/>
          <w:sz w:val="24"/>
          <w:szCs w:val="24"/>
          <w:lang w:eastAsia="pl-PL"/>
        </w:rPr>
        <w:t>Powyższe zalecenia nie eliminują możliwości wykonywania przez aplikantów innych zadań wynikających z bieżącego funkcjonowania prokuratury. Nie mogą one jednak przeważać w trakcie praktyki.</w:t>
      </w:r>
    </w:p>
    <w:p w:rsidR="002313A6" w:rsidRPr="002313A6" w:rsidRDefault="002313A6" w:rsidP="002313A6">
      <w:pPr>
        <w:spacing w:before="120" w:after="120"/>
        <w:ind w:firstLine="360"/>
        <w:jc w:val="both"/>
        <w:rPr>
          <w:rFonts w:ascii="Times New Roman" w:eastAsia="Times New Roman" w:hAnsi="Times New Roman" w:cs="Times New Roman"/>
          <w:sz w:val="24"/>
          <w:szCs w:val="24"/>
          <w:lang w:eastAsia="pl-PL"/>
        </w:rPr>
      </w:pPr>
      <w:r w:rsidRPr="002313A6">
        <w:rPr>
          <w:rFonts w:ascii="Times New Roman" w:eastAsia="Times New Roman" w:hAnsi="Times New Roman" w:cs="Times New Roman"/>
          <w:sz w:val="24"/>
          <w:szCs w:val="24"/>
          <w:lang w:eastAsia="pl-PL"/>
        </w:rPr>
        <w:t xml:space="preserve">Uprzejmie informuję, że </w:t>
      </w:r>
      <w:r w:rsidRPr="002313A6">
        <w:rPr>
          <w:rFonts w:ascii="Times New Roman" w:eastAsia="Times New Roman" w:hAnsi="Times New Roman" w:cs="Times New Roman"/>
          <w:b/>
          <w:sz w:val="24"/>
          <w:szCs w:val="24"/>
          <w:lang w:eastAsia="pl-PL"/>
        </w:rPr>
        <w:t>przedmiotem sprawdzianu, który aplikanci będ</w:t>
      </w:r>
      <w:r w:rsidR="00122FE6">
        <w:rPr>
          <w:rFonts w:ascii="Times New Roman" w:eastAsia="Times New Roman" w:hAnsi="Times New Roman" w:cs="Times New Roman"/>
          <w:b/>
          <w:sz w:val="24"/>
          <w:szCs w:val="24"/>
          <w:lang w:eastAsia="pl-PL"/>
        </w:rPr>
        <w:t>ą pisać po odbyciu praktyk po 6</w:t>
      </w:r>
      <w:r w:rsidRPr="002313A6">
        <w:rPr>
          <w:rFonts w:ascii="Times New Roman" w:eastAsia="Times New Roman" w:hAnsi="Times New Roman" w:cs="Times New Roman"/>
          <w:b/>
          <w:sz w:val="24"/>
          <w:szCs w:val="24"/>
          <w:lang w:eastAsia="pl-PL"/>
        </w:rPr>
        <w:t xml:space="preserve"> zjeźd</w:t>
      </w:r>
      <w:r w:rsidR="00122FE6">
        <w:rPr>
          <w:rFonts w:ascii="Times New Roman" w:eastAsia="Times New Roman" w:hAnsi="Times New Roman" w:cs="Times New Roman"/>
          <w:b/>
          <w:sz w:val="24"/>
          <w:szCs w:val="24"/>
          <w:lang w:eastAsia="pl-PL"/>
        </w:rPr>
        <w:t>zie (tj. w dniu 25 lipca 2022</w:t>
      </w:r>
      <w:r w:rsidRPr="002313A6">
        <w:rPr>
          <w:rFonts w:ascii="Times New Roman" w:eastAsia="Times New Roman" w:hAnsi="Times New Roman" w:cs="Times New Roman"/>
          <w:b/>
          <w:sz w:val="24"/>
          <w:szCs w:val="24"/>
          <w:lang w:eastAsia="pl-PL"/>
        </w:rPr>
        <w:t xml:space="preserve"> r.), będzie opracowanie projektu postanowienia o zabezpieczeniu majątkowym</w:t>
      </w:r>
      <w:r w:rsidRPr="002313A6">
        <w:rPr>
          <w:rFonts w:ascii="Times New Roman" w:eastAsia="Times New Roman" w:hAnsi="Times New Roman" w:cs="Times New Roman"/>
          <w:sz w:val="24"/>
          <w:szCs w:val="24"/>
          <w:lang w:eastAsia="pl-PL"/>
        </w:rPr>
        <w:t xml:space="preserve">. Dlatego ważnym jest, aby aplikanci podczas praktyk opanowali tę umiejętność w jak najwyższym stopniu. </w:t>
      </w:r>
    </w:p>
    <w:p w:rsidR="002313A6" w:rsidRPr="002313A6" w:rsidRDefault="002313A6" w:rsidP="002313A6">
      <w:pPr>
        <w:jc w:val="center"/>
        <w:rPr>
          <w:rFonts w:ascii="Garamond" w:hAnsi="Garamond" w:cstheme="minorBidi"/>
          <w:b/>
        </w:rPr>
      </w:pPr>
    </w:p>
    <w:p w:rsidR="002313A6" w:rsidRPr="002313A6" w:rsidRDefault="002313A6" w:rsidP="002313A6">
      <w:pPr>
        <w:jc w:val="center"/>
        <w:rPr>
          <w:rFonts w:ascii="Garamond" w:hAnsi="Garamond" w:cstheme="minorBidi"/>
          <w:b/>
        </w:rPr>
      </w:pPr>
    </w:p>
    <w:p w:rsidR="002313A6" w:rsidRPr="002313A6" w:rsidRDefault="002313A6" w:rsidP="002313A6">
      <w:pPr>
        <w:jc w:val="center"/>
        <w:rPr>
          <w:rFonts w:ascii="Garamond" w:hAnsi="Garamond" w:cstheme="minorBidi"/>
          <w:b/>
          <w:i/>
        </w:rPr>
      </w:pPr>
      <w:r w:rsidRPr="002313A6">
        <w:rPr>
          <w:rFonts w:ascii="Garamond" w:hAnsi="Garamond" w:cstheme="minorBidi"/>
          <w:b/>
          <w:i/>
        </w:rPr>
        <w:t>Kierownik Działu Dydaktycznego</w:t>
      </w:r>
    </w:p>
    <w:p w:rsidR="002313A6" w:rsidRPr="002313A6" w:rsidRDefault="002313A6" w:rsidP="002313A6">
      <w:pPr>
        <w:jc w:val="center"/>
        <w:rPr>
          <w:rFonts w:ascii="Garamond" w:hAnsi="Garamond" w:cstheme="minorBidi"/>
          <w:b/>
          <w:i/>
        </w:rPr>
      </w:pPr>
      <w:r w:rsidRPr="002313A6">
        <w:rPr>
          <w:rFonts w:ascii="Garamond" w:hAnsi="Garamond" w:cstheme="minorBidi"/>
          <w:b/>
          <w:i/>
        </w:rPr>
        <w:t>Ośrodka Aplikacji Prokuratorskiej</w:t>
      </w:r>
    </w:p>
    <w:p w:rsidR="002313A6" w:rsidRPr="002313A6" w:rsidRDefault="002313A6" w:rsidP="002313A6">
      <w:pPr>
        <w:jc w:val="center"/>
        <w:rPr>
          <w:rFonts w:ascii="Garamond" w:hAnsi="Garamond" w:cstheme="minorBidi"/>
          <w:b/>
          <w:i/>
        </w:rPr>
      </w:pPr>
      <w:r w:rsidRPr="002313A6">
        <w:rPr>
          <w:rFonts w:ascii="Garamond" w:hAnsi="Garamond" w:cstheme="minorBidi"/>
          <w:b/>
          <w:i/>
        </w:rPr>
        <w:t>Krajowej Szkoły Sądownictwa i Prokuratury</w:t>
      </w:r>
    </w:p>
    <w:p w:rsidR="002313A6" w:rsidRPr="002313A6" w:rsidRDefault="002313A6" w:rsidP="002313A6">
      <w:pPr>
        <w:jc w:val="center"/>
        <w:rPr>
          <w:rFonts w:ascii="Garamond" w:hAnsi="Garamond" w:cstheme="minorBidi"/>
          <w:b/>
          <w:i/>
        </w:rPr>
      </w:pPr>
    </w:p>
    <w:p w:rsidR="002313A6" w:rsidRPr="002313A6" w:rsidRDefault="002313A6" w:rsidP="002313A6">
      <w:pPr>
        <w:jc w:val="center"/>
        <w:rPr>
          <w:rFonts w:ascii="Garamond" w:hAnsi="Garamond" w:cstheme="minorBidi"/>
          <w:b/>
          <w:i/>
        </w:rPr>
      </w:pPr>
      <w:r w:rsidRPr="002313A6">
        <w:rPr>
          <w:rFonts w:ascii="Garamond" w:hAnsi="Garamond" w:cstheme="minorBidi"/>
          <w:b/>
          <w:i/>
        </w:rPr>
        <w:t xml:space="preserve">Marta Zin </w:t>
      </w:r>
    </w:p>
    <w:p w:rsidR="002313A6" w:rsidRPr="002313A6" w:rsidRDefault="002313A6" w:rsidP="002313A6">
      <w:pPr>
        <w:jc w:val="center"/>
        <w:rPr>
          <w:rFonts w:asciiTheme="minorHAnsi" w:eastAsiaTheme="minorHAnsi" w:hAnsiTheme="minorHAnsi" w:cstheme="minorBidi"/>
          <w:b/>
          <w:i/>
        </w:rPr>
      </w:pPr>
      <w:r w:rsidRPr="002313A6">
        <w:rPr>
          <w:rFonts w:ascii="Garamond" w:hAnsi="Garamond" w:cstheme="minorBidi"/>
          <w:b/>
          <w:i/>
        </w:rPr>
        <w:t>Prokurator</w:t>
      </w:r>
    </w:p>
    <w:p w:rsidR="000B4076" w:rsidRPr="00C568A4" w:rsidRDefault="000B4076" w:rsidP="00C568A4"/>
    <w:sectPr w:rsidR="000B4076" w:rsidRPr="00C568A4" w:rsidSect="003D147B">
      <w:headerReference w:type="default" r:id="rId7"/>
      <w:footerReference w:type="default" r:id="rId8"/>
      <w:headerReference w:type="first" r:id="rId9"/>
      <w:footerReference w:type="first" r:id="rId10"/>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26" w:rsidRDefault="00205C26">
      <w:pPr>
        <w:spacing w:after="0" w:line="240" w:lineRule="auto"/>
      </w:pPr>
      <w:r>
        <w:separator/>
      </w:r>
    </w:p>
  </w:endnote>
  <w:endnote w:type="continuationSeparator" w:id="0">
    <w:p w:rsidR="00205C26" w:rsidRDefault="0020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Default="005C1373">
    <w:pPr>
      <w:pStyle w:val="Stopka"/>
    </w:pPr>
    <w:r>
      <w:fldChar w:fldCharType="begin"/>
    </w:r>
    <w:r>
      <w:instrText xml:space="preserve"> PAGE   \* MERGEFORMAT </w:instrText>
    </w:r>
    <w:r>
      <w:fldChar w:fldCharType="separate"/>
    </w:r>
    <w:r w:rsidR="003B12FE">
      <w:rPr>
        <w:noProof/>
      </w:rPr>
      <w:t>2</w:t>
    </w:r>
    <w:r>
      <w:rPr>
        <w:noProof/>
      </w:rPr>
      <w:fldChar w:fldCharType="end"/>
    </w:r>
  </w:p>
  <w:p w:rsidR="001B510F" w:rsidRDefault="00205C2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1B510F" w:rsidTr="003D147B">
      <w:trPr>
        <w:trHeight w:val="23"/>
      </w:trPr>
      <w:tc>
        <w:tcPr>
          <w:tcW w:w="5099" w:type="dxa"/>
          <w:tcBorders>
            <w:top w:val="thinThickSmallGap" w:sz="12" w:space="0" w:color="auto"/>
          </w:tcBorders>
        </w:tcPr>
        <w:p w:rsidR="001B510F" w:rsidRPr="0074505E" w:rsidRDefault="00205C26" w:rsidP="003D147B">
          <w:pPr>
            <w:pStyle w:val="Stopka"/>
            <w:rPr>
              <w:sz w:val="4"/>
              <w:szCs w:val="4"/>
            </w:rPr>
          </w:pPr>
        </w:p>
      </w:tc>
    </w:tr>
  </w:tbl>
  <w:p w:rsidR="001B510F" w:rsidRPr="00A944C8" w:rsidRDefault="005C1373" w:rsidP="000828FB">
    <w:pPr>
      <w:pStyle w:val="Stopka"/>
      <w:jc w:val="center"/>
      <w:rPr>
        <w:sz w:val="18"/>
        <w:szCs w:val="18"/>
      </w:rPr>
    </w:pPr>
    <w:r w:rsidRPr="00A944C8">
      <w:rPr>
        <w:sz w:val="18"/>
        <w:szCs w:val="18"/>
      </w:rPr>
      <w:t>Krajowa Szkoła Sądownictwa i Prokuratury</w:t>
    </w:r>
  </w:p>
  <w:p w:rsidR="001B510F" w:rsidRPr="00A944C8" w:rsidRDefault="005C1373" w:rsidP="000828FB">
    <w:pPr>
      <w:pStyle w:val="Stopka"/>
      <w:jc w:val="center"/>
      <w:rPr>
        <w:sz w:val="18"/>
        <w:szCs w:val="18"/>
      </w:rPr>
    </w:pPr>
    <w:r w:rsidRPr="00A944C8">
      <w:rPr>
        <w:sz w:val="18"/>
        <w:szCs w:val="18"/>
      </w:rPr>
      <w:t>ul. Przy Rondzie 5, 31-547 Kraków</w:t>
    </w:r>
  </w:p>
  <w:p w:rsidR="001B510F" w:rsidRDefault="00205C26" w:rsidP="003D14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26" w:rsidRDefault="00205C26">
      <w:pPr>
        <w:spacing w:after="0" w:line="240" w:lineRule="auto"/>
      </w:pPr>
      <w:r>
        <w:separator/>
      </w:r>
    </w:p>
  </w:footnote>
  <w:footnote w:type="continuationSeparator" w:id="0">
    <w:p w:rsidR="00205C26" w:rsidRDefault="00205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Pr="009B38B3" w:rsidRDefault="005C1373" w:rsidP="003D147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Default="005C1373" w:rsidP="003D147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lang w:eastAsia="pl-PL"/>
      </w:rPr>
      <w:drawing>
        <wp:anchor distT="0" distB="0" distL="114300" distR="114300" simplePos="0" relativeHeight="251659264" behindDoc="0" locked="0" layoutInCell="1" allowOverlap="1" wp14:anchorId="3E8C1DEB" wp14:editId="206492B8">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1B510F" w:rsidRDefault="00205C26" w:rsidP="003D147B">
    <w:pPr>
      <w:pStyle w:val="Nagwek"/>
      <w:ind w:right="4959"/>
      <w:jc w:val="center"/>
      <w:rPr>
        <w:b/>
      </w:rPr>
    </w:pPr>
  </w:p>
  <w:p w:rsidR="001B510F" w:rsidRPr="009E7ADE" w:rsidRDefault="00205C26" w:rsidP="003D147B">
    <w:pPr>
      <w:pStyle w:val="Nagwek"/>
      <w:ind w:left="-851" w:right="5526"/>
      <w:jc w:val="center"/>
      <w:rPr>
        <w:b/>
        <w:sz w:val="8"/>
        <w:szCs w:val="8"/>
      </w:rPr>
    </w:pPr>
  </w:p>
  <w:p w:rsidR="001B510F" w:rsidRPr="00551ABF" w:rsidRDefault="005C1373" w:rsidP="003D147B">
    <w:pPr>
      <w:pStyle w:val="Nagwek"/>
      <w:ind w:left="-851" w:right="5526"/>
      <w:jc w:val="center"/>
      <w:rPr>
        <w:b/>
      </w:rPr>
    </w:pPr>
    <w:r w:rsidRPr="00551ABF">
      <w:rPr>
        <w:b/>
      </w:rPr>
      <w:t>KRAJOW</w:t>
    </w:r>
    <w:r>
      <w:rPr>
        <w:b/>
      </w:rPr>
      <w:t>A</w:t>
    </w:r>
    <w:r w:rsidRPr="00551ABF">
      <w:rPr>
        <w:b/>
      </w:rPr>
      <w:t xml:space="preserve"> SZKOŁ</w:t>
    </w:r>
    <w:r>
      <w:rPr>
        <w:b/>
      </w:rPr>
      <w:t>A</w:t>
    </w:r>
  </w:p>
  <w:p w:rsidR="001B510F" w:rsidRDefault="005C1373" w:rsidP="003D147B">
    <w:pPr>
      <w:pStyle w:val="Nagwek"/>
      <w:ind w:left="-851" w:right="5526"/>
      <w:jc w:val="center"/>
      <w:rPr>
        <w:b/>
      </w:rPr>
    </w:pPr>
    <w:r w:rsidRPr="00D021CB">
      <w:rPr>
        <w:b/>
      </w:rPr>
      <w:t>SĄDOWNICTWA I PROKURATURY</w:t>
    </w:r>
  </w:p>
  <w:p w:rsidR="00E20B98" w:rsidRPr="00D021CB" w:rsidRDefault="00205C26" w:rsidP="003D147B">
    <w:pPr>
      <w:pStyle w:val="Nagwek"/>
      <w:ind w:left="-851" w:right="5526"/>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74FD"/>
    <w:multiLevelType w:val="hybridMultilevel"/>
    <w:tmpl w:val="D7542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9149C7"/>
    <w:multiLevelType w:val="hybridMultilevel"/>
    <w:tmpl w:val="1D243B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DC1EC2"/>
    <w:multiLevelType w:val="hybridMultilevel"/>
    <w:tmpl w:val="57549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6D5A8E"/>
    <w:multiLevelType w:val="hybridMultilevel"/>
    <w:tmpl w:val="674079C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A955C2"/>
    <w:multiLevelType w:val="hybridMultilevel"/>
    <w:tmpl w:val="7F009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E40605"/>
    <w:multiLevelType w:val="hybridMultilevel"/>
    <w:tmpl w:val="EE74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73"/>
    <w:rsid w:val="00041549"/>
    <w:rsid w:val="000641D1"/>
    <w:rsid w:val="000B4076"/>
    <w:rsid w:val="00122FE6"/>
    <w:rsid w:val="00205C26"/>
    <w:rsid w:val="002313A6"/>
    <w:rsid w:val="00313D8C"/>
    <w:rsid w:val="003B12FE"/>
    <w:rsid w:val="00435CDB"/>
    <w:rsid w:val="00482F4C"/>
    <w:rsid w:val="00535E70"/>
    <w:rsid w:val="00592151"/>
    <w:rsid w:val="005C1373"/>
    <w:rsid w:val="00623A20"/>
    <w:rsid w:val="009508D5"/>
    <w:rsid w:val="00983E05"/>
    <w:rsid w:val="00BC1096"/>
    <w:rsid w:val="00C504E4"/>
    <w:rsid w:val="00C568A4"/>
    <w:rsid w:val="00E512BB"/>
    <w:rsid w:val="00ED39E2"/>
    <w:rsid w:val="00F44495"/>
    <w:rsid w:val="00F86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DA625-494B-418C-B2B6-C29ED0D3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8D5"/>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C1373"/>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semiHidden/>
    <w:rsid w:val="005C1373"/>
  </w:style>
  <w:style w:type="paragraph" w:styleId="Stopka">
    <w:name w:val="footer"/>
    <w:basedOn w:val="Normalny"/>
    <w:link w:val="StopkaZnak"/>
    <w:uiPriority w:val="99"/>
    <w:unhideWhenUsed/>
    <w:rsid w:val="005C1373"/>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C1373"/>
  </w:style>
  <w:style w:type="paragraph" w:styleId="Tekstprzypisudolnego">
    <w:name w:val="footnote text"/>
    <w:basedOn w:val="Normalny"/>
    <w:link w:val="TekstprzypisudolnegoZnak"/>
    <w:uiPriority w:val="99"/>
    <w:semiHidden/>
    <w:unhideWhenUsed/>
    <w:rsid w:val="009508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08D5"/>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950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68527">
      <w:bodyDiv w:val="1"/>
      <w:marLeft w:val="0"/>
      <w:marRight w:val="0"/>
      <w:marTop w:val="0"/>
      <w:marBottom w:val="0"/>
      <w:divBdr>
        <w:top w:val="none" w:sz="0" w:space="0" w:color="auto"/>
        <w:left w:val="none" w:sz="0" w:space="0" w:color="auto"/>
        <w:bottom w:val="none" w:sz="0" w:space="0" w:color="auto"/>
        <w:right w:val="none" w:sz="0" w:space="0" w:color="auto"/>
      </w:divBdr>
    </w:div>
    <w:div w:id="209566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6221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Joanna Matuszek</cp:lastModifiedBy>
  <cp:revision>2</cp:revision>
  <dcterms:created xsi:type="dcterms:W3CDTF">2022-03-16T11:17:00Z</dcterms:created>
  <dcterms:modified xsi:type="dcterms:W3CDTF">2022-03-16T11:17:00Z</dcterms:modified>
</cp:coreProperties>
</file>