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1318" w:rsidRDefault="002D0561" w:rsidP="00031318">
      <w:pPr>
        <w:spacing w:after="120"/>
      </w:pPr>
      <w:bookmarkStart w:id="0" w:name="_GoBack"/>
      <w:bookmarkEnd w:id="0"/>
      <w:r>
        <w:t>OAP-II.420.</w:t>
      </w:r>
      <w:r w:rsidR="00A76DDA">
        <w:t>12.4.2022</w:t>
      </w:r>
      <w:r w:rsidR="00031318">
        <w:t xml:space="preserve"> </w:t>
      </w:r>
      <w:r w:rsidR="00031318">
        <w:tab/>
      </w:r>
      <w:r>
        <w:tab/>
      </w:r>
      <w:r>
        <w:tab/>
      </w:r>
      <w:r>
        <w:tab/>
      </w:r>
      <w:r>
        <w:tab/>
      </w:r>
      <w:r>
        <w:tab/>
      </w:r>
      <w:r w:rsidR="00051EED">
        <w:t xml:space="preserve">             </w:t>
      </w:r>
      <w:r>
        <w:t xml:space="preserve">Kraków, dnia </w:t>
      </w:r>
      <w:r w:rsidR="00A76DDA">
        <w:t>22 lutego</w:t>
      </w:r>
      <w:r>
        <w:t xml:space="preserve"> 202</w:t>
      </w:r>
      <w:r w:rsidR="00A76DDA">
        <w:t>3</w:t>
      </w:r>
      <w:r w:rsidR="00031318">
        <w:t xml:space="preserve"> r.</w:t>
      </w:r>
    </w:p>
    <w:p w:rsidR="00031318" w:rsidRDefault="00031318" w:rsidP="00031318">
      <w:pPr>
        <w:tabs>
          <w:tab w:val="left" w:pos="4820"/>
        </w:tabs>
        <w:spacing w:after="120"/>
        <w:rPr>
          <w:b/>
        </w:rPr>
      </w:pPr>
    </w:p>
    <w:p w:rsidR="00031318" w:rsidRDefault="00031318" w:rsidP="00031318">
      <w:pPr>
        <w:tabs>
          <w:tab w:val="left" w:pos="4820"/>
        </w:tabs>
        <w:spacing w:after="120"/>
        <w:rPr>
          <w:b/>
        </w:rPr>
      </w:pPr>
    </w:p>
    <w:p w:rsidR="00031318" w:rsidRDefault="00031318" w:rsidP="00031318">
      <w:pPr>
        <w:tabs>
          <w:tab w:val="left" w:pos="4820"/>
        </w:tabs>
        <w:spacing w:after="120"/>
        <w:rPr>
          <w:b/>
        </w:rPr>
      </w:pPr>
      <w:r>
        <w:rPr>
          <w:b/>
        </w:rPr>
        <w:tab/>
        <w:t>Państwo</w:t>
      </w:r>
      <w:r>
        <w:rPr>
          <w:b/>
        </w:rPr>
        <w:br/>
      </w:r>
      <w:r>
        <w:rPr>
          <w:b/>
        </w:rPr>
        <w:tab/>
        <w:t>Patroni koordynatorzy</w:t>
      </w:r>
      <w:r>
        <w:rPr>
          <w:b/>
        </w:rPr>
        <w:br/>
      </w:r>
      <w:r>
        <w:rPr>
          <w:b/>
        </w:rPr>
        <w:tab/>
        <w:t>oraz Patroni praktyk</w:t>
      </w:r>
      <w:r>
        <w:rPr>
          <w:b/>
        </w:rPr>
        <w:br/>
      </w:r>
      <w:r>
        <w:rPr>
          <w:b/>
        </w:rPr>
        <w:tab/>
        <w:t>aplikantów aplikacji prokuratorskiej</w:t>
      </w:r>
    </w:p>
    <w:p w:rsidR="00031318" w:rsidRDefault="00031318" w:rsidP="00031318">
      <w:pPr>
        <w:spacing w:after="120"/>
        <w:ind w:left="4248"/>
        <w:rPr>
          <w:b/>
        </w:rPr>
      </w:pPr>
    </w:p>
    <w:p w:rsidR="00031318" w:rsidRDefault="00031318" w:rsidP="00031318">
      <w:pPr>
        <w:spacing w:after="120"/>
        <w:jc w:val="both"/>
        <w:rPr>
          <w:b/>
          <w:i/>
        </w:rPr>
      </w:pPr>
    </w:p>
    <w:p w:rsidR="00031318" w:rsidRDefault="002D0561" w:rsidP="00031318">
      <w:pPr>
        <w:spacing w:after="120"/>
      </w:pPr>
      <w:r>
        <w:rPr>
          <w:b/>
          <w:i/>
        </w:rPr>
        <w:t>Dotyczy praktyk aplikantów XI</w:t>
      </w:r>
      <w:r w:rsidR="00A76DDA">
        <w:rPr>
          <w:b/>
          <w:i/>
        </w:rPr>
        <w:t>V</w:t>
      </w:r>
      <w:r w:rsidR="00031318">
        <w:rPr>
          <w:b/>
          <w:i/>
        </w:rPr>
        <w:t xml:space="preserve"> rocznika</w:t>
      </w:r>
      <w:r>
        <w:rPr>
          <w:b/>
          <w:i/>
        </w:rPr>
        <w:t xml:space="preserve"> aplikacji prokuratorskiej po 4</w:t>
      </w:r>
      <w:r w:rsidR="00A76DDA">
        <w:rPr>
          <w:b/>
          <w:i/>
        </w:rPr>
        <w:t>.</w:t>
      </w:r>
      <w:r w:rsidR="00031318">
        <w:rPr>
          <w:b/>
          <w:i/>
        </w:rPr>
        <w:t xml:space="preserve"> zjeździe</w:t>
      </w:r>
    </w:p>
    <w:p w:rsidR="00031318" w:rsidRDefault="00031318" w:rsidP="00031318">
      <w:pPr>
        <w:spacing w:after="120"/>
        <w:jc w:val="both"/>
      </w:pPr>
    </w:p>
    <w:p w:rsidR="00031318" w:rsidRDefault="00031318" w:rsidP="00031318">
      <w:pPr>
        <w:spacing w:after="120"/>
        <w:ind w:firstLine="708"/>
        <w:jc w:val="both"/>
        <w:rPr>
          <w:b/>
        </w:rPr>
      </w:pPr>
      <w:r>
        <w:t>W oparciu o § 2, 9 i 10 zarządzenia Dyrektora Krajowej Szkoły Sądownictwa i Prokuratury w Krakowie Nr 132/2019 z dnia 15 marca 2019 r</w:t>
      </w:r>
      <w:r w:rsidR="00051EED">
        <w:t>.</w:t>
      </w:r>
      <w:r>
        <w:t xml:space="preserve"> w sprawie szczegółowych zasad odbywania praktyk przez aplikantów aplikacji sędziowskiej i prokuratorskiej uprzejmie przedstawiam szczegółowy zakres tematyczny, który winien być przedmiotem praktyk aplikantów aplikacji prokuratorskiej, odby</w:t>
      </w:r>
      <w:r w:rsidR="002D0561">
        <w:t xml:space="preserve">wanych </w:t>
      </w:r>
      <w:r w:rsidR="002D0561" w:rsidRPr="002D0561">
        <w:rPr>
          <w:b/>
        </w:rPr>
        <w:t xml:space="preserve">od 2 do </w:t>
      </w:r>
      <w:r w:rsidR="00A76DDA">
        <w:rPr>
          <w:b/>
        </w:rPr>
        <w:t>19</w:t>
      </w:r>
      <w:r w:rsidR="002D0561" w:rsidRPr="002D0561">
        <w:rPr>
          <w:b/>
        </w:rPr>
        <w:t xml:space="preserve"> maja 202</w:t>
      </w:r>
      <w:r w:rsidR="00051EED">
        <w:rPr>
          <w:b/>
        </w:rPr>
        <w:t>3</w:t>
      </w:r>
      <w:r w:rsidRPr="002D0561">
        <w:rPr>
          <w:b/>
        </w:rPr>
        <w:t xml:space="preserve"> r. w prokuraturach rejonowych (w tym jeden tydzień w Dziale Śledczym). </w:t>
      </w:r>
    </w:p>
    <w:p w:rsidR="002D0561" w:rsidRPr="002D0561" w:rsidRDefault="002D0561" w:rsidP="00031318">
      <w:pPr>
        <w:spacing w:after="120"/>
        <w:ind w:firstLine="708"/>
        <w:jc w:val="both"/>
      </w:pPr>
      <w:r w:rsidRPr="002D0561">
        <w:t>Zasadniczym celem praktyk jest zaznajomienie aplikantów z czynnościami i metodyką pracy patrona oraz doskonalenie umiejętności wykorzystania wiedzy teoretycznej i znajomości orzecznictwa. Każdorazowo praktyka winna utrwalić wiedzę zdobytą podczas bezpośrednio poprzedzających ją zajęć w ramach zjazdu.</w:t>
      </w:r>
    </w:p>
    <w:p w:rsidR="00031318" w:rsidRDefault="002D0561" w:rsidP="00031318">
      <w:pPr>
        <w:spacing w:after="120"/>
        <w:ind w:firstLine="708"/>
        <w:jc w:val="both"/>
      </w:pPr>
      <w:r>
        <w:t>Przedmiotem 4</w:t>
      </w:r>
      <w:r w:rsidR="00534B0E">
        <w:t>.</w:t>
      </w:r>
      <w:r w:rsidR="00031318">
        <w:t xml:space="preserve"> zjazdu aplikacji prokuratorskie</w:t>
      </w:r>
      <w:r>
        <w:t>j, który odbędzie się  od</w:t>
      </w:r>
      <w:r w:rsidR="00031318">
        <w:t xml:space="preserve"> 2</w:t>
      </w:r>
      <w:r w:rsidR="00A76DDA">
        <w:t>4</w:t>
      </w:r>
      <w:r>
        <w:t xml:space="preserve"> do 2</w:t>
      </w:r>
      <w:r w:rsidR="00A76DDA">
        <w:t>8</w:t>
      </w:r>
      <w:r>
        <w:t xml:space="preserve"> kwietnia  202</w:t>
      </w:r>
      <w:r w:rsidR="00A76DDA">
        <w:t>3</w:t>
      </w:r>
      <w:r>
        <w:t> r. będzie</w:t>
      </w:r>
      <w:r w:rsidR="00031318">
        <w:t>:</w:t>
      </w:r>
    </w:p>
    <w:p w:rsidR="00031318" w:rsidRPr="004A0324" w:rsidRDefault="00031318" w:rsidP="00031318">
      <w:pPr>
        <w:numPr>
          <w:ilvl w:val="0"/>
          <w:numId w:val="4"/>
        </w:numPr>
        <w:spacing w:after="120"/>
        <w:jc w:val="both"/>
        <w:rPr>
          <w:u w:val="single"/>
        </w:rPr>
      </w:pPr>
      <w:r w:rsidRPr="004A0324">
        <w:rPr>
          <w:u w:val="single"/>
        </w:rPr>
        <w:t>Prawo karne materialne</w:t>
      </w:r>
    </w:p>
    <w:p w:rsidR="00031318" w:rsidRDefault="00031318" w:rsidP="00031318">
      <w:pPr>
        <w:spacing w:after="120"/>
        <w:jc w:val="both"/>
      </w:pPr>
      <w:r>
        <w:t xml:space="preserve">            Formy popełnienia przestępstwa, postacie stadialne i zjawiskowe.</w:t>
      </w:r>
    </w:p>
    <w:p w:rsidR="00031318" w:rsidRPr="004A0324" w:rsidRDefault="00031318" w:rsidP="00031318">
      <w:pPr>
        <w:numPr>
          <w:ilvl w:val="0"/>
          <w:numId w:val="4"/>
        </w:numPr>
        <w:spacing w:after="120"/>
        <w:jc w:val="both"/>
        <w:rPr>
          <w:u w:val="single"/>
        </w:rPr>
      </w:pPr>
      <w:r w:rsidRPr="004A0324">
        <w:rPr>
          <w:u w:val="single"/>
        </w:rPr>
        <w:t>Prawo karne procesowe</w:t>
      </w:r>
    </w:p>
    <w:p w:rsidR="00031318" w:rsidRDefault="00031318" w:rsidP="00031318">
      <w:pPr>
        <w:spacing w:after="120"/>
        <w:jc w:val="both"/>
      </w:pPr>
      <w:r>
        <w:t xml:space="preserve">            Konstruowanie postanowienia o przedstawieniu zarzutów oraz o jego zmianie</w:t>
      </w:r>
    </w:p>
    <w:p w:rsidR="00031318" w:rsidRDefault="00031318" w:rsidP="00031318">
      <w:pPr>
        <w:spacing w:after="120"/>
        <w:jc w:val="both"/>
      </w:pPr>
      <w:r>
        <w:t xml:space="preserve">            i     uzupełnieniu. Uzasadnianie tych decyzji. </w:t>
      </w:r>
    </w:p>
    <w:p w:rsidR="00031318" w:rsidRDefault="00031318" w:rsidP="00031318">
      <w:pPr>
        <w:spacing w:after="120"/>
        <w:ind w:firstLine="708"/>
        <w:jc w:val="both"/>
      </w:pPr>
      <w:r>
        <w:t xml:space="preserve">Dopuszczalność czynności dowodowych. Zakazy dowodowe bezwarunkowe, </w:t>
      </w:r>
    </w:p>
    <w:p w:rsidR="00031318" w:rsidRDefault="00031318" w:rsidP="00031318">
      <w:pPr>
        <w:spacing w:after="120"/>
        <w:ind w:firstLine="708"/>
        <w:jc w:val="both"/>
      </w:pPr>
      <w:r>
        <w:t>warunkowe oraz art. 183 k.p.k. Specyfika przesłuchań w warunkach art. 185a, 185b</w:t>
      </w:r>
    </w:p>
    <w:p w:rsidR="00031318" w:rsidRDefault="00031318" w:rsidP="00031318">
      <w:pPr>
        <w:spacing w:after="120"/>
        <w:ind w:firstLine="708"/>
        <w:jc w:val="both"/>
      </w:pPr>
      <w:r>
        <w:t xml:space="preserve"> i 185c k.p.k.</w:t>
      </w:r>
    </w:p>
    <w:p w:rsidR="00031318" w:rsidRPr="004A0324" w:rsidRDefault="00031318" w:rsidP="00031318">
      <w:pPr>
        <w:numPr>
          <w:ilvl w:val="0"/>
          <w:numId w:val="4"/>
        </w:numPr>
        <w:spacing w:after="120"/>
        <w:jc w:val="both"/>
        <w:rPr>
          <w:u w:val="single"/>
        </w:rPr>
      </w:pPr>
      <w:r w:rsidRPr="004A0324">
        <w:rPr>
          <w:u w:val="single"/>
        </w:rPr>
        <w:t>Kryminalistyka</w:t>
      </w:r>
    </w:p>
    <w:p w:rsidR="00031318" w:rsidRDefault="00031318" w:rsidP="00031318">
      <w:pPr>
        <w:spacing w:after="120"/>
        <w:ind w:firstLine="708"/>
        <w:jc w:val="both"/>
      </w:pPr>
      <w:r>
        <w:t>Zagadnienia taktyki kryminalistycznej. Taktyka przesłuchania świadka</w:t>
      </w:r>
    </w:p>
    <w:p w:rsidR="00031318" w:rsidRDefault="00031318" w:rsidP="00031318">
      <w:pPr>
        <w:spacing w:after="120"/>
        <w:ind w:firstLine="708"/>
        <w:jc w:val="both"/>
      </w:pPr>
      <w:r>
        <w:t xml:space="preserve"> i podejrzanego. </w:t>
      </w:r>
    </w:p>
    <w:p w:rsidR="00031318" w:rsidRPr="004A0324" w:rsidRDefault="00031318" w:rsidP="00031318">
      <w:pPr>
        <w:numPr>
          <w:ilvl w:val="0"/>
          <w:numId w:val="4"/>
        </w:numPr>
        <w:spacing w:after="120"/>
        <w:jc w:val="both"/>
        <w:rPr>
          <w:u w:val="single"/>
        </w:rPr>
      </w:pPr>
      <w:r w:rsidRPr="004A0324">
        <w:rPr>
          <w:u w:val="single"/>
        </w:rPr>
        <w:t>Prawa ofiary przestępstwa</w:t>
      </w:r>
    </w:p>
    <w:p w:rsidR="00031318" w:rsidRDefault="00031318" w:rsidP="00031318">
      <w:pPr>
        <w:spacing w:after="120"/>
        <w:ind w:firstLine="708"/>
        <w:jc w:val="both"/>
      </w:pPr>
      <w:r>
        <w:lastRenderedPageBreak/>
        <w:t xml:space="preserve">Kompensata państwowa. Najważniejsze uprawnienia pokrzywdzonego (w tym </w:t>
      </w:r>
    </w:p>
    <w:p w:rsidR="00031318" w:rsidRDefault="00031318" w:rsidP="002D0561">
      <w:pPr>
        <w:spacing w:after="120"/>
        <w:ind w:firstLine="708"/>
        <w:jc w:val="both"/>
      </w:pPr>
      <w:r>
        <w:t>wynikające z aktów prawa międzynarodowego i Unii Europejskiej).</w:t>
      </w:r>
    </w:p>
    <w:p w:rsidR="00031318" w:rsidRPr="002D0561" w:rsidRDefault="00031318" w:rsidP="00031318">
      <w:pPr>
        <w:spacing w:after="120"/>
        <w:ind w:firstLine="708"/>
        <w:jc w:val="both"/>
      </w:pPr>
      <w:r w:rsidRPr="0014150D">
        <w:rPr>
          <w:b/>
        </w:rPr>
        <w:t xml:space="preserve">Celem </w:t>
      </w:r>
      <w:r w:rsidR="002D0561" w:rsidRPr="0014150D">
        <w:rPr>
          <w:b/>
        </w:rPr>
        <w:t xml:space="preserve">niniejszej praktyki </w:t>
      </w:r>
      <w:r w:rsidR="00FC0CA4">
        <w:rPr>
          <w:b/>
        </w:rPr>
        <w:t xml:space="preserve">jest </w:t>
      </w:r>
      <w:r w:rsidR="002D0561" w:rsidRPr="0014150D">
        <w:rPr>
          <w:b/>
        </w:rPr>
        <w:t>zgodnie z prog</w:t>
      </w:r>
      <w:r w:rsidR="00FC0CA4">
        <w:rPr>
          <w:b/>
        </w:rPr>
        <w:t>ramem aplikacji prokuratorskiej</w:t>
      </w:r>
      <w:r w:rsidRPr="0014150D">
        <w:rPr>
          <w:b/>
        </w:rPr>
        <w:t xml:space="preserve"> nabycie umiejętności konstruowania postanowień o przedstawieniu</w:t>
      </w:r>
      <w:r w:rsidR="002D0561" w:rsidRPr="0014150D">
        <w:rPr>
          <w:b/>
        </w:rPr>
        <w:t>, zmianie i uzupełnieniu</w:t>
      </w:r>
      <w:r w:rsidR="0014150D" w:rsidRPr="0014150D">
        <w:rPr>
          <w:b/>
        </w:rPr>
        <w:t xml:space="preserve"> zarzutów i ich uzasadnia</w:t>
      </w:r>
      <w:r w:rsidRPr="0014150D">
        <w:rPr>
          <w:b/>
        </w:rPr>
        <w:t>nia , a także ugruntowanie umiejętności sporządzania planu śledztwa (planu czynności śledczych) w sprawach o większy stopniu skomplikowania</w:t>
      </w:r>
      <w:r w:rsidRPr="002D0561">
        <w:t>.</w:t>
      </w:r>
    </w:p>
    <w:p w:rsidR="00031318" w:rsidRDefault="0014150D" w:rsidP="00031318">
      <w:pPr>
        <w:spacing w:after="120"/>
        <w:ind w:firstLine="708"/>
        <w:jc w:val="both"/>
      </w:pPr>
      <w:r>
        <w:t>Patroni praktyk powinni zatem zadbać, aby aplikanci przede ws</w:t>
      </w:r>
      <w:r w:rsidR="004A0324">
        <w:t>zystkim mieli możliwość zapoznania</w:t>
      </w:r>
      <w:r>
        <w:t xml:space="preserve"> się </w:t>
      </w:r>
      <w:r w:rsidR="00031318">
        <w:t xml:space="preserve"> ze sposobem opracowywania postanowień o przedstawieniu, zmianie i uzupełnieniu zarzutów, uzasadniania tych postanowień, ogłaszania ich podejrzanemu oraz przesłuchiwania podejrzanego. Aplikanci powinni ponadto brać udział w przesłuchiwaniu świa</w:t>
      </w:r>
      <w:r w:rsidR="002D0561">
        <w:t xml:space="preserve">dków, w tym </w:t>
      </w:r>
      <w:r w:rsidR="00031318">
        <w:t>w warunkach art. 185a, 185b i 185c k.p.k., oraz zapoznać się z praktycznymi aspektami dopuszczalności dowodów, z uwzględnieniem zakazów dowodo</w:t>
      </w:r>
      <w:r>
        <w:t xml:space="preserve">wych bezwarunkowych </w:t>
      </w:r>
      <w:r w:rsidR="00031318">
        <w:t xml:space="preserve">i warunkowych. </w:t>
      </w:r>
    </w:p>
    <w:p w:rsidR="00031318" w:rsidRDefault="00031318" w:rsidP="00031318">
      <w:pPr>
        <w:spacing w:after="120"/>
        <w:ind w:firstLine="708"/>
        <w:jc w:val="both"/>
      </w:pPr>
      <w:r>
        <w:t>Dodatkowo, zgodnie z programem aplikacji, celem praktyki jest ugruntowanie umiejętności sporządzania planu śledztwa (planu czynności śledczych) w s</w:t>
      </w:r>
      <w:r w:rsidR="0014150D">
        <w:t>prawach</w:t>
      </w:r>
      <w:r>
        <w:t xml:space="preserve"> o większym stopniu skomplikowania.</w:t>
      </w:r>
    </w:p>
    <w:p w:rsidR="00031318" w:rsidRDefault="00031318" w:rsidP="00031318">
      <w:pPr>
        <w:spacing w:after="120"/>
        <w:ind w:firstLine="708"/>
        <w:jc w:val="both"/>
      </w:pPr>
      <w:r>
        <w:t>Uprzejmie informuję, że przedmiotem sprawdzianu, który aplikanci będ</w:t>
      </w:r>
      <w:r w:rsidR="0014150D">
        <w:t>ą pisać po odbyciu praktyk po 4</w:t>
      </w:r>
      <w:r w:rsidR="00A76DDA">
        <w:t>.</w:t>
      </w:r>
      <w:r w:rsidR="0014150D">
        <w:t xml:space="preserve"> zjeździe (na początku 5</w:t>
      </w:r>
      <w:r w:rsidR="00A76DDA">
        <w:t>.</w:t>
      </w:r>
      <w:r w:rsidR="0014150D">
        <w:t xml:space="preserve"> zjazdu</w:t>
      </w:r>
      <w:r w:rsidR="004A0324">
        <w:t xml:space="preserve"> tj.</w:t>
      </w:r>
      <w:r w:rsidR="0014150D">
        <w:t xml:space="preserve"> w dniu </w:t>
      </w:r>
      <w:r w:rsidR="00534B0E">
        <w:t>22</w:t>
      </w:r>
      <w:r w:rsidR="0014150D">
        <w:t xml:space="preserve"> maja 202</w:t>
      </w:r>
      <w:r w:rsidR="00534B0E">
        <w:t>3</w:t>
      </w:r>
      <w:r>
        <w:t xml:space="preserve"> roku) będzie opracowanie projektu postanowienia o przedstawieniu zarzutów z uzasadnieniem. Dlatego ważnym jest, aby aplikanci podczas praktyk opanowali tę umiejętność w jak najwyższym stopniu.</w:t>
      </w:r>
    </w:p>
    <w:p w:rsidR="00031318" w:rsidRDefault="00031318" w:rsidP="00031318">
      <w:pPr>
        <w:spacing w:after="120"/>
        <w:ind w:firstLine="708"/>
        <w:jc w:val="both"/>
      </w:pPr>
      <w:r>
        <w:t>Powyższe nie wyklucza możliwości powierzania aplikantom również innych</w:t>
      </w:r>
      <w:r w:rsidR="0014150D">
        <w:t xml:space="preserve"> zadań wynikających z bieżą</w:t>
      </w:r>
      <w:r w:rsidR="004A0324">
        <w:t>c</w:t>
      </w:r>
      <w:r w:rsidR="0014150D">
        <w:t>ego</w:t>
      </w:r>
      <w:r>
        <w:t xml:space="preserve"> toku pracy prokuratorskiej, zwłaszcza takich, z którymi dotychczas jeszcze się nie zetknęli lub, w których nie uczestniczyli.</w:t>
      </w:r>
    </w:p>
    <w:p w:rsidR="00031318" w:rsidRDefault="00031318" w:rsidP="00031318">
      <w:pPr>
        <w:spacing w:after="120"/>
        <w:ind w:firstLine="708"/>
        <w:jc w:val="both"/>
      </w:pPr>
      <w:r>
        <w:t>Proszę zwracać uwagę nie tylko na merytoryczną trafność i formalną poprawność sporządzanych przez aplikantów pism, ale także na rodzaj użytej argumentacji, logikę i poprawność językową.</w:t>
      </w:r>
    </w:p>
    <w:p w:rsidR="00031318" w:rsidRDefault="00031318" w:rsidP="00031318">
      <w:pPr>
        <w:spacing w:after="120"/>
        <w:ind w:firstLine="708"/>
        <w:jc w:val="both"/>
      </w:pPr>
    </w:p>
    <w:p w:rsidR="00031318" w:rsidRPr="00534B0E" w:rsidRDefault="00031318" w:rsidP="00031318">
      <w:pPr>
        <w:spacing w:after="120"/>
        <w:jc w:val="both"/>
        <w:rPr>
          <w:b/>
        </w:rPr>
      </w:pPr>
    </w:p>
    <w:p w:rsidR="00031318" w:rsidRPr="00534B0E" w:rsidRDefault="00031318" w:rsidP="00031318">
      <w:pPr>
        <w:spacing w:after="120"/>
        <w:jc w:val="center"/>
        <w:rPr>
          <w:b/>
        </w:rPr>
      </w:pPr>
      <w:r w:rsidRPr="00534B0E">
        <w:rPr>
          <w:b/>
        </w:rPr>
        <w:t>Kierownik</w:t>
      </w:r>
    </w:p>
    <w:p w:rsidR="00031318" w:rsidRPr="00534B0E" w:rsidRDefault="00031318" w:rsidP="00031318">
      <w:pPr>
        <w:spacing w:after="120"/>
        <w:jc w:val="center"/>
        <w:rPr>
          <w:b/>
        </w:rPr>
      </w:pPr>
      <w:r w:rsidRPr="00534B0E">
        <w:rPr>
          <w:b/>
        </w:rPr>
        <w:t>Działu Dydaktycznego</w:t>
      </w:r>
    </w:p>
    <w:p w:rsidR="00031318" w:rsidRPr="00534B0E" w:rsidRDefault="00031318" w:rsidP="00031318">
      <w:pPr>
        <w:spacing w:after="120"/>
        <w:jc w:val="center"/>
        <w:rPr>
          <w:b/>
        </w:rPr>
      </w:pPr>
      <w:r w:rsidRPr="00534B0E">
        <w:rPr>
          <w:b/>
        </w:rPr>
        <w:t>Ośrodka Aplikacji Prokuratorskiej</w:t>
      </w:r>
    </w:p>
    <w:p w:rsidR="00031318" w:rsidRPr="00534B0E" w:rsidRDefault="00031318" w:rsidP="00031318">
      <w:pPr>
        <w:spacing w:after="120"/>
        <w:jc w:val="center"/>
        <w:rPr>
          <w:b/>
        </w:rPr>
      </w:pPr>
      <w:r w:rsidRPr="00534B0E">
        <w:rPr>
          <w:b/>
        </w:rPr>
        <w:t>Krajowej Szkoły Sądownictwa i Prokuratury</w:t>
      </w:r>
    </w:p>
    <w:p w:rsidR="00031318" w:rsidRPr="00534B0E" w:rsidRDefault="00031318" w:rsidP="00031318">
      <w:pPr>
        <w:spacing w:after="120"/>
        <w:jc w:val="center"/>
        <w:rPr>
          <w:b/>
        </w:rPr>
      </w:pPr>
    </w:p>
    <w:p w:rsidR="00031318" w:rsidRPr="00534B0E" w:rsidRDefault="00031318" w:rsidP="00031318">
      <w:pPr>
        <w:spacing w:after="120"/>
        <w:jc w:val="center"/>
        <w:rPr>
          <w:b/>
        </w:rPr>
      </w:pPr>
      <w:r w:rsidRPr="00534B0E">
        <w:rPr>
          <w:b/>
        </w:rPr>
        <w:t>Marta Zin</w:t>
      </w:r>
    </w:p>
    <w:p w:rsidR="00031318" w:rsidRPr="00534B0E" w:rsidRDefault="00031318" w:rsidP="00031318">
      <w:pPr>
        <w:spacing w:after="120"/>
        <w:jc w:val="center"/>
        <w:rPr>
          <w:b/>
        </w:rPr>
      </w:pPr>
      <w:r w:rsidRPr="00534B0E">
        <w:rPr>
          <w:b/>
        </w:rPr>
        <w:t>Prokurator</w:t>
      </w:r>
    </w:p>
    <w:p w:rsidR="000B4076" w:rsidRPr="00C568A4" w:rsidRDefault="000B4076" w:rsidP="00C568A4"/>
    <w:sectPr w:rsidR="000B4076" w:rsidRPr="00C568A4" w:rsidSect="003D147B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418" w:right="1418" w:bottom="1560" w:left="1418" w:header="568" w:footer="49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5403" w:rsidRDefault="004D5403">
      <w:pPr>
        <w:spacing w:after="0" w:line="240" w:lineRule="auto"/>
      </w:pPr>
      <w:r>
        <w:separator/>
      </w:r>
    </w:p>
  </w:endnote>
  <w:endnote w:type="continuationSeparator" w:id="0">
    <w:p w:rsidR="004D5403" w:rsidRDefault="004D54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hruti">
    <w:panose1 w:val="020B0502040204020203"/>
    <w:charset w:val="01"/>
    <w:family w:val="roman"/>
    <w:notTrueType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510F" w:rsidRDefault="005C1373">
    <w:pPr>
      <w:pStyle w:val="Stopka"/>
    </w:pPr>
    <w:r>
      <w:fldChar w:fldCharType="begin"/>
    </w:r>
    <w:r>
      <w:instrText xml:space="preserve"> PAGE   \* MERGEFORMAT </w:instrText>
    </w:r>
    <w:r>
      <w:fldChar w:fldCharType="separate"/>
    </w:r>
    <w:r w:rsidR="004817A5">
      <w:rPr>
        <w:noProof/>
      </w:rPr>
      <w:t>2</w:t>
    </w:r>
    <w:r>
      <w:rPr>
        <w:noProof/>
      </w:rPr>
      <w:fldChar w:fldCharType="end"/>
    </w:r>
  </w:p>
  <w:p w:rsidR="001B510F" w:rsidRDefault="004D540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1987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099"/>
    </w:tblGrid>
    <w:tr w:rsidR="001B510F" w:rsidTr="003D147B">
      <w:trPr>
        <w:trHeight w:val="23"/>
      </w:trPr>
      <w:tc>
        <w:tcPr>
          <w:tcW w:w="5099" w:type="dxa"/>
          <w:tcBorders>
            <w:top w:val="thinThickSmallGap" w:sz="12" w:space="0" w:color="auto"/>
          </w:tcBorders>
        </w:tcPr>
        <w:p w:rsidR="001B510F" w:rsidRPr="0074505E" w:rsidRDefault="004D5403" w:rsidP="003D147B">
          <w:pPr>
            <w:pStyle w:val="Stopka"/>
            <w:rPr>
              <w:sz w:val="4"/>
              <w:szCs w:val="4"/>
            </w:rPr>
          </w:pPr>
        </w:p>
      </w:tc>
    </w:tr>
  </w:tbl>
  <w:p w:rsidR="001B510F" w:rsidRPr="00A944C8" w:rsidRDefault="005C1373" w:rsidP="000828FB">
    <w:pPr>
      <w:pStyle w:val="Stopka"/>
      <w:jc w:val="center"/>
      <w:rPr>
        <w:sz w:val="18"/>
        <w:szCs w:val="18"/>
      </w:rPr>
    </w:pPr>
    <w:r w:rsidRPr="00A944C8">
      <w:rPr>
        <w:sz w:val="18"/>
        <w:szCs w:val="18"/>
      </w:rPr>
      <w:t>Krajowa Szkoła Sądownictwa i Prokuratury</w:t>
    </w:r>
  </w:p>
  <w:p w:rsidR="001B510F" w:rsidRPr="00A944C8" w:rsidRDefault="005C1373" w:rsidP="000828FB">
    <w:pPr>
      <w:pStyle w:val="Stopka"/>
      <w:jc w:val="center"/>
      <w:rPr>
        <w:sz w:val="18"/>
        <w:szCs w:val="18"/>
      </w:rPr>
    </w:pPr>
    <w:r w:rsidRPr="00A944C8">
      <w:rPr>
        <w:sz w:val="18"/>
        <w:szCs w:val="18"/>
      </w:rPr>
      <w:t>ul. Przy Rondzie 5, 31-547 Kraków</w:t>
    </w:r>
  </w:p>
  <w:p w:rsidR="001B510F" w:rsidRDefault="004D5403" w:rsidP="003D14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5403" w:rsidRDefault="004D5403">
      <w:pPr>
        <w:spacing w:after="0" w:line="240" w:lineRule="auto"/>
      </w:pPr>
      <w:r>
        <w:separator/>
      </w:r>
    </w:p>
  </w:footnote>
  <w:footnote w:type="continuationSeparator" w:id="0">
    <w:p w:rsidR="004D5403" w:rsidRDefault="004D54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510F" w:rsidRPr="009B38B3" w:rsidRDefault="005C1373" w:rsidP="003D147B">
    <w:pPr>
      <w:pStyle w:val="Nagwek"/>
      <w:jc w:val="right"/>
      <w:rPr>
        <w:rFonts w:ascii="Century Gothic" w:hAnsi="Century Gothic"/>
        <w:sz w:val="16"/>
        <w:szCs w:val="16"/>
      </w:rPr>
    </w:pPr>
    <w:r w:rsidRPr="009B38B3">
      <w:rPr>
        <w:rFonts w:ascii="Century Gothic" w:hAnsi="Century Gothic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510F" w:rsidRDefault="005C1373" w:rsidP="003D147B">
    <w:pPr>
      <w:pStyle w:val="Nagwek"/>
      <w:tabs>
        <w:tab w:val="clear" w:pos="4536"/>
        <w:tab w:val="clear" w:pos="9072"/>
        <w:tab w:val="center" w:pos="1080"/>
        <w:tab w:val="left" w:pos="1440"/>
        <w:tab w:val="right" w:pos="5103"/>
        <w:tab w:val="left" w:pos="10527"/>
      </w:tabs>
      <w:ind w:left="-851" w:right="5526"/>
      <w:rPr>
        <w:rFonts w:ascii="Century Gothic" w:hAnsi="Century Gothic" w:cs="Shruti"/>
        <w:spacing w:val="20"/>
        <w:sz w:val="30"/>
        <w:szCs w:val="30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3E8C1DEB" wp14:editId="206492B8">
          <wp:simplePos x="0" y="0"/>
          <wp:positionH relativeFrom="column">
            <wp:posOffset>621665</wp:posOffset>
          </wp:positionH>
          <wp:positionV relativeFrom="paragraph">
            <wp:posOffset>-42545</wp:posOffset>
          </wp:positionV>
          <wp:extent cx="501015" cy="476885"/>
          <wp:effectExtent l="0" t="0" r="0" b="0"/>
          <wp:wrapNone/>
          <wp:docPr id="1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1015" cy="476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 w:cs="Shruti"/>
        <w:spacing w:val="20"/>
        <w:sz w:val="30"/>
        <w:szCs w:val="30"/>
      </w:rPr>
      <w:t xml:space="preserve">  </w:t>
    </w:r>
  </w:p>
  <w:p w:rsidR="001B510F" w:rsidRDefault="004D5403" w:rsidP="003D147B">
    <w:pPr>
      <w:pStyle w:val="Nagwek"/>
      <w:ind w:right="4959"/>
      <w:jc w:val="center"/>
      <w:rPr>
        <w:b/>
      </w:rPr>
    </w:pPr>
  </w:p>
  <w:p w:rsidR="001B510F" w:rsidRPr="009E7ADE" w:rsidRDefault="004D5403" w:rsidP="003D147B">
    <w:pPr>
      <w:pStyle w:val="Nagwek"/>
      <w:ind w:left="-851" w:right="5526"/>
      <w:jc w:val="center"/>
      <w:rPr>
        <w:b/>
        <w:sz w:val="8"/>
        <w:szCs w:val="8"/>
      </w:rPr>
    </w:pPr>
  </w:p>
  <w:p w:rsidR="001B510F" w:rsidRPr="00551ABF" w:rsidRDefault="005C1373" w:rsidP="003D147B">
    <w:pPr>
      <w:pStyle w:val="Nagwek"/>
      <w:ind w:left="-851" w:right="5526"/>
      <w:jc w:val="center"/>
      <w:rPr>
        <w:b/>
      </w:rPr>
    </w:pPr>
    <w:r w:rsidRPr="00551ABF">
      <w:rPr>
        <w:b/>
      </w:rPr>
      <w:t>KRAJOW</w:t>
    </w:r>
    <w:r>
      <w:rPr>
        <w:b/>
      </w:rPr>
      <w:t>A</w:t>
    </w:r>
    <w:r w:rsidRPr="00551ABF">
      <w:rPr>
        <w:b/>
      </w:rPr>
      <w:t xml:space="preserve"> SZKOŁ</w:t>
    </w:r>
    <w:r>
      <w:rPr>
        <w:b/>
      </w:rPr>
      <w:t>A</w:t>
    </w:r>
  </w:p>
  <w:p w:rsidR="001B510F" w:rsidRDefault="005C1373" w:rsidP="003D147B">
    <w:pPr>
      <w:pStyle w:val="Nagwek"/>
      <w:ind w:left="-851" w:right="5526"/>
      <w:jc w:val="center"/>
      <w:rPr>
        <w:b/>
      </w:rPr>
    </w:pPr>
    <w:r w:rsidRPr="00D021CB">
      <w:rPr>
        <w:b/>
      </w:rPr>
      <w:t>SĄDOWNICTWA I PROKURATURY</w:t>
    </w:r>
  </w:p>
  <w:p w:rsidR="00E20B98" w:rsidRPr="00D021CB" w:rsidRDefault="004D5403" w:rsidP="003D147B">
    <w:pPr>
      <w:pStyle w:val="Nagwek"/>
      <w:ind w:left="-851" w:right="5526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9149C7"/>
    <w:multiLevelType w:val="hybridMultilevel"/>
    <w:tmpl w:val="1D243B9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6D5A8E"/>
    <w:multiLevelType w:val="hybridMultilevel"/>
    <w:tmpl w:val="674079C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E40605"/>
    <w:multiLevelType w:val="hybridMultilevel"/>
    <w:tmpl w:val="EE7473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026932"/>
    <w:multiLevelType w:val="hybridMultilevel"/>
    <w:tmpl w:val="AE4E5D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373"/>
    <w:rsid w:val="00031318"/>
    <w:rsid w:val="00051EED"/>
    <w:rsid w:val="000641D1"/>
    <w:rsid w:val="000B4076"/>
    <w:rsid w:val="0014150D"/>
    <w:rsid w:val="001C06C1"/>
    <w:rsid w:val="002D0561"/>
    <w:rsid w:val="00313D8C"/>
    <w:rsid w:val="00435CDB"/>
    <w:rsid w:val="004817A5"/>
    <w:rsid w:val="00482F4C"/>
    <w:rsid w:val="004A0324"/>
    <w:rsid w:val="004D5403"/>
    <w:rsid w:val="00534B0E"/>
    <w:rsid w:val="00577FCB"/>
    <w:rsid w:val="005C1373"/>
    <w:rsid w:val="00694411"/>
    <w:rsid w:val="006A6486"/>
    <w:rsid w:val="007A784A"/>
    <w:rsid w:val="009508D5"/>
    <w:rsid w:val="00A670F6"/>
    <w:rsid w:val="00A76DDA"/>
    <w:rsid w:val="00AE70D6"/>
    <w:rsid w:val="00BC1096"/>
    <w:rsid w:val="00C568A4"/>
    <w:rsid w:val="00E46B40"/>
    <w:rsid w:val="00E512BB"/>
    <w:rsid w:val="00E733F4"/>
    <w:rsid w:val="00EB77C1"/>
    <w:rsid w:val="00ED39E2"/>
    <w:rsid w:val="00F866FC"/>
    <w:rsid w:val="00FC0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391DC2-E05C-4FD2-BDCC-47DED4D6B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508D5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5C1373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5C1373"/>
  </w:style>
  <w:style w:type="paragraph" w:styleId="Stopka">
    <w:name w:val="footer"/>
    <w:basedOn w:val="Normalny"/>
    <w:link w:val="StopkaZnak"/>
    <w:uiPriority w:val="99"/>
    <w:unhideWhenUsed/>
    <w:rsid w:val="005C1373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5C1373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508D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508D5"/>
    <w:rPr>
      <w:rFonts w:ascii="Calibri" w:eastAsia="Calibri" w:hAnsi="Calibri" w:cs="Calibr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508D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56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539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3770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Zin</dc:creator>
  <cp:lastModifiedBy>Katarzyna Mróz</cp:lastModifiedBy>
  <cp:revision>2</cp:revision>
  <dcterms:created xsi:type="dcterms:W3CDTF">2023-02-23T06:30:00Z</dcterms:created>
  <dcterms:modified xsi:type="dcterms:W3CDTF">2023-02-23T06:30:00Z</dcterms:modified>
</cp:coreProperties>
</file>