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EBB7" w14:textId="77777777" w:rsidR="009C39F4" w:rsidRPr="006D2112" w:rsidRDefault="005C2BCC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>OAP-II.420.</w:t>
      </w:r>
      <w:r w:rsidR="00860605">
        <w:rPr>
          <w:rFonts w:asciiTheme="minorHAnsi" w:hAnsiTheme="minorHAnsi" w:cstheme="minorHAnsi"/>
          <w:sz w:val="24"/>
          <w:szCs w:val="24"/>
        </w:rPr>
        <w:t>6</w:t>
      </w:r>
      <w:r w:rsidRPr="006D2112">
        <w:rPr>
          <w:rFonts w:asciiTheme="minorHAnsi" w:hAnsiTheme="minorHAnsi" w:cstheme="minorHAnsi"/>
          <w:sz w:val="24"/>
          <w:szCs w:val="24"/>
        </w:rPr>
        <w:t>.3</w:t>
      </w:r>
      <w:r w:rsidR="00AE630A" w:rsidRPr="006D2112">
        <w:rPr>
          <w:rFonts w:asciiTheme="minorHAnsi" w:hAnsiTheme="minorHAnsi" w:cstheme="minorHAnsi"/>
          <w:sz w:val="24"/>
          <w:szCs w:val="24"/>
        </w:rPr>
        <w:t>.202</w:t>
      </w:r>
      <w:r w:rsidR="00860605">
        <w:rPr>
          <w:rFonts w:asciiTheme="minorHAnsi" w:hAnsiTheme="minorHAnsi" w:cstheme="minorHAnsi"/>
          <w:sz w:val="24"/>
          <w:szCs w:val="24"/>
        </w:rPr>
        <w:t>5</w:t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AE630A" w:rsidRPr="006D2112">
        <w:rPr>
          <w:rFonts w:asciiTheme="minorHAnsi" w:hAnsiTheme="minorHAnsi" w:cstheme="minorHAnsi"/>
          <w:sz w:val="24"/>
          <w:szCs w:val="24"/>
        </w:rPr>
        <w:tab/>
      </w:r>
      <w:r w:rsidR="009C39F4" w:rsidRPr="006D2112">
        <w:rPr>
          <w:rFonts w:asciiTheme="minorHAnsi" w:hAnsiTheme="minorHAnsi" w:cstheme="minorHAnsi"/>
          <w:sz w:val="24"/>
          <w:szCs w:val="24"/>
        </w:rPr>
        <w:t xml:space="preserve">Kraków, dnia </w:t>
      </w:r>
      <w:r w:rsidRPr="006D2112">
        <w:rPr>
          <w:rFonts w:asciiTheme="minorHAnsi" w:hAnsiTheme="minorHAnsi" w:cstheme="minorHAnsi"/>
          <w:sz w:val="24"/>
          <w:szCs w:val="24"/>
        </w:rPr>
        <w:t>1</w:t>
      </w:r>
      <w:r w:rsidR="00860605">
        <w:rPr>
          <w:rFonts w:asciiTheme="minorHAnsi" w:hAnsiTheme="minorHAnsi" w:cstheme="minorHAnsi"/>
          <w:sz w:val="24"/>
          <w:szCs w:val="24"/>
        </w:rPr>
        <w:t>9 stycznia</w:t>
      </w:r>
      <w:r w:rsidR="000079FB" w:rsidRPr="006D2112">
        <w:rPr>
          <w:rFonts w:asciiTheme="minorHAnsi" w:hAnsiTheme="minorHAnsi" w:cstheme="minorHAnsi"/>
          <w:sz w:val="24"/>
          <w:szCs w:val="24"/>
        </w:rPr>
        <w:t xml:space="preserve"> 202</w:t>
      </w:r>
      <w:r w:rsidR="00860605">
        <w:rPr>
          <w:rFonts w:asciiTheme="minorHAnsi" w:hAnsiTheme="minorHAnsi" w:cstheme="minorHAnsi"/>
          <w:sz w:val="24"/>
          <w:szCs w:val="24"/>
        </w:rPr>
        <w:t>6</w:t>
      </w:r>
      <w:r w:rsidR="000079FB" w:rsidRPr="006D211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1F5A671" w14:textId="77777777" w:rsidR="00944825" w:rsidRPr="006D2112" w:rsidRDefault="00944825" w:rsidP="009C39F4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FF2A85" w14:textId="77777777" w:rsidR="00F47061" w:rsidRPr="006D2112" w:rsidRDefault="00F47061" w:rsidP="00F47061">
      <w:pPr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</w:pPr>
      <w:r w:rsidRPr="006D2112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</w:t>
      </w:r>
      <w:r w:rsidRPr="006D2112">
        <w:rPr>
          <w:rFonts w:asciiTheme="minorHAnsi" w:hAnsiTheme="minorHAnsi" w:cstheme="minorHAnsi"/>
          <w:color w:val="FFFFFF"/>
          <w:sz w:val="24"/>
          <w:szCs w:val="24"/>
        </w:rPr>
        <w:t xml:space="preserve"> </w:t>
      </w:r>
      <w:r w:rsidRPr="006D2112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OAP-II.420.5.1.2024 </w:t>
      </w:r>
    </w:p>
    <w:p w14:paraId="730F189D" w14:textId="77777777" w:rsidR="00F47061" w:rsidRPr="006D2112" w:rsidRDefault="00F47061" w:rsidP="00F47061">
      <w:pPr>
        <w:spacing w:after="0" w:line="240" w:lineRule="auto"/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</w:pPr>
      <w:r w:rsidRPr="006D2112">
        <w:rPr>
          <w:rFonts w:asciiTheme="minorHAnsi" w:eastAsia="Times New Roman" w:hAnsiTheme="minorHAnsi" w:cstheme="minorHAnsi"/>
          <w:color w:val="FFFFFF"/>
          <w:sz w:val="24"/>
          <w:szCs w:val="24"/>
          <w:lang w:eastAsia="pl-PL"/>
        </w:rPr>
        <w:t>AP-II.420.5.1.2024 </w:t>
      </w:r>
    </w:p>
    <w:p w14:paraId="2530393F" w14:textId="77777777" w:rsidR="009C39F4" w:rsidRPr="006D2112" w:rsidRDefault="007E5AD4" w:rsidP="00944825">
      <w:pPr>
        <w:spacing w:after="120"/>
        <w:ind w:left="4248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 xml:space="preserve">Szanowni Państwo </w:t>
      </w:r>
    </w:p>
    <w:p w14:paraId="4610E341" w14:textId="77777777" w:rsidR="000079FB" w:rsidRPr="006D2112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>Patroni Koordynator</w:t>
      </w:r>
    </w:p>
    <w:p w14:paraId="10EB0564" w14:textId="77777777" w:rsidR="009C39F4" w:rsidRPr="006D2112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>oraz Patroni Praktyk</w:t>
      </w:r>
    </w:p>
    <w:p w14:paraId="233A7977" w14:textId="77777777" w:rsidR="009C39F4" w:rsidRPr="006D2112" w:rsidRDefault="009C39F4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>aplikantów aplikacji prokuratorskiej</w:t>
      </w:r>
    </w:p>
    <w:p w14:paraId="15527D2F" w14:textId="77777777" w:rsidR="000079FB" w:rsidRDefault="000079FB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18993B55" w14:textId="77777777" w:rsidR="00334683" w:rsidRPr="006D2112" w:rsidRDefault="00334683" w:rsidP="000079FB">
      <w:pPr>
        <w:spacing w:after="120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4985FBC1" w14:textId="77777777" w:rsidR="009C39F4" w:rsidRPr="006D2112" w:rsidRDefault="007E5AD4" w:rsidP="007E5AD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D2112">
        <w:rPr>
          <w:rFonts w:asciiTheme="minorHAnsi" w:hAnsiTheme="minorHAnsi" w:cstheme="minorHAnsi"/>
          <w:b/>
          <w:i/>
          <w:sz w:val="24"/>
          <w:szCs w:val="24"/>
        </w:rPr>
        <w:t xml:space="preserve">Zalecenia dotyczące </w:t>
      </w:r>
      <w:r w:rsidR="009C39F4" w:rsidRPr="006D2112">
        <w:rPr>
          <w:rFonts w:asciiTheme="minorHAnsi" w:hAnsiTheme="minorHAnsi" w:cstheme="minorHAnsi"/>
          <w:b/>
          <w:i/>
          <w:sz w:val="24"/>
          <w:szCs w:val="24"/>
        </w:rPr>
        <w:t>praktyk aplikant</w:t>
      </w:r>
      <w:r w:rsidR="00944825" w:rsidRPr="006D2112">
        <w:rPr>
          <w:rFonts w:asciiTheme="minorHAnsi" w:hAnsiTheme="minorHAnsi" w:cstheme="minorHAnsi"/>
          <w:b/>
          <w:i/>
          <w:sz w:val="24"/>
          <w:szCs w:val="24"/>
        </w:rPr>
        <w:t>ów aplikacji prokuratorskiej X</w:t>
      </w:r>
      <w:r w:rsidRPr="006D2112">
        <w:rPr>
          <w:rFonts w:asciiTheme="minorHAnsi" w:hAnsiTheme="minorHAnsi" w:cstheme="minorHAnsi"/>
          <w:b/>
          <w:i/>
          <w:sz w:val="24"/>
          <w:szCs w:val="24"/>
        </w:rPr>
        <w:t>V</w:t>
      </w:r>
      <w:r w:rsidR="00F47061" w:rsidRPr="006D2112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EB6F35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F47061" w:rsidRPr="006D211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C39F4" w:rsidRPr="006D2112">
        <w:rPr>
          <w:rFonts w:asciiTheme="minorHAnsi" w:hAnsiTheme="minorHAnsi" w:cstheme="minorHAnsi"/>
          <w:b/>
          <w:i/>
          <w:sz w:val="24"/>
          <w:szCs w:val="24"/>
        </w:rPr>
        <w:t>rocznika po</w:t>
      </w:r>
      <w:r w:rsidR="00093CAF" w:rsidRPr="006D211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5C2BCC" w:rsidRPr="006D2112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F47061" w:rsidRPr="006D2112">
        <w:rPr>
          <w:rFonts w:asciiTheme="minorHAnsi" w:hAnsiTheme="minorHAnsi" w:cstheme="minorHAnsi"/>
          <w:b/>
          <w:i/>
          <w:sz w:val="24"/>
          <w:szCs w:val="24"/>
        </w:rPr>
        <w:t xml:space="preserve"> zjeździe </w:t>
      </w:r>
    </w:p>
    <w:p w14:paraId="3417E6B8" w14:textId="77777777" w:rsidR="009C39F4" w:rsidRPr="006D2112" w:rsidRDefault="009C39F4" w:rsidP="007E5AD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3FADEE3" w14:textId="77777777" w:rsidR="00F74165" w:rsidRDefault="009C39F4" w:rsidP="00F74165">
      <w:pPr>
        <w:spacing w:after="12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>W oparciu o §</w:t>
      </w:r>
      <w:r w:rsidR="00B464EC">
        <w:rPr>
          <w:rFonts w:asciiTheme="minorHAnsi" w:hAnsiTheme="minorHAnsi" w:cstheme="minorHAnsi"/>
          <w:sz w:val="24"/>
          <w:szCs w:val="24"/>
        </w:rPr>
        <w:t xml:space="preserve"> </w:t>
      </w:r>
      <w:r w:rsidR="005052C3" w:rsidRPr="006D2112">
        <w:rPr>
          <w:rFonts w:asciiTheme="minorHAnsi" w:hAnsiTheme="minorHAnsi" w:cstheme="minorHAnsi"/>
          <w:sz w:val="24"/>
          <w:szCs w:val="24"/>
        </w:rPr>
        <w:t xml:space="preserve">1 ust.2 </w:t>
      </w:r>
      <w:r w:rsidRPr="006D2112">
        <w:rPr>
          <w:rFonts w:asciiTheme="minorHAnsi" w:hAnsiTheme="minorHAnsi" w:cstheme="minorHAnsi"/>
          <w:sz w:val="24"/>
          <w:szCs w:val="24"/>
        </w:rPr>
        <w:t>zarządzenia Dyrekto</w:t>
      </w:r>
      <w:r w:rsidR="008B6D0B" w:rsidRPr="006D2112">
        <w:rPr>
          <w:rFonts w:asciiTheme="minorHAnsi" w:hAnsiTheme="minorHAnsi" w:cstheme="minorHAnsi"/>
          <w:sz w:val="24"/>
          <w:szCs w:val="24"/>
        </w:rPr>
        <w:t xml:space="preserve">ra Krajowej Szkoły Sądownictwa </w:t>
      </w:r>
      <w:r w:rsidRPr="006D2112">
        <w:rPr>
          <w:rFonts w:asciiTheme="minorHAnsi" w:hAnsiTheme="minorHAnsi" w:cstheme="minorHAnsi"/>
          <w:sz w:val="24"/>
          <w:szCs w:val="24"/>
        </w:rPr>
        <w:t xml:space="preserve">i Prokuratury w Krakowie Nr </w:t>
      </w:r>
      <w:r w:rsidR="005052C3" w:rsidRPr="006D2112">
        <w:rPr>
          <w:rFonts w:asciiTheme="minorHAnsi" w:hAnsiTheme="minorHAnsi" w:cstheme="minorHAnsi"/>
          <w:sz w:val="24"/>
          <w:szCs w:val="24"/>
        </w:rPr>
        <w:t>539</w:t>
      </w:r>
      <w:r w:rsidRPr="006D2112">
        <w:rPr>
          <w:rFonts w:asciiTheme="minorHAnsi" w:hAnsiTheme="minorHAnsi" w:cstheme="minorHAnsi"/>
          <w:sz w:val="24"/>
          <w:szCs w:val="24"/>
        </w:rPr>
        <w:t>/20</w:t>
      </w:r>
      <w:r w:rsidR="005052C3" w:rsidRPr="006D2112">
        <w:rPr>
          <w:rFonts w:asciiTheme="minorHAnsi" w:hAnsiTheme="minorHAnsi" w:cstheme="minorHAnsi"/>
          <w:sz w:val="24"/>
          <w:szCs w:val="24"/>
        </w:rPr>
        <w:t>21</w:t>
      </w:r>
      <w:r w:rsidRPr="006D2112">
        <w:rPr>
          <w:rFonts w:asciiTheme="minorHAnsi" w:hAnsiTheme="minorHAnsi" w:cstheme="minorHAnsi"/>
          <w:sz w:val="24"/>
          <w:szCs w:val="24"/>
        </w:rPr>
        <w:t xml:space="preserve"> z dnia </w:t>
      </w:r>
      <w:r w:rsidR="005052C3" w:rsidRPr="006D2112">
        <w:rPr>
          <w:rFonts w:asciiTheme="minorHAnsi" w:hAnsiTheme="minorHAnsi" w:cstheme="minorHAnsi"/>
          <w:sz w:val="24"/>
          <w:szCs w:val="24"/>
        </w:rPr>
        <w:t>27 października</w:t>
      </w:r>
      <w:r w:rsidRPr="006D2112">
        <w:rPr>
          <w:rFonts w:asciiTheme="minorHAnsi" w:hAnsiTheme="minorHAnsi" w:cstheme="minorHAnsi"/>
          <w:sz w:val="24"/>
          <w:szCs w:val="24"/>
        </w:rPr>
        <w:t xml:space="preserve"> 20</w:t>
      </w:r>
      <w:r w:rsidR="005052C3" w:rsidRPr="006D2112">
        <w:rPr>
          <w:rFonts w:asciiTheme="minorHAnsi" w:hAnsiTheme="minorHAnsi" w:cstheme="minorHAnsi"/>
          <w:sz w:val="24"/>
          <w:szCs w:val="24"/>
        </w:rPr>
        <w:t>21</w:t>
      </w:r>
      <w:r w:rsidRPr="006D2112">
        <w:rPr>
          <w:rFonts w:asciiTheme="minorHAnsi" w:hAnsiTheme="minorHAnsi" w:cstheme="minorHAnsi"/>
          <w:sz w:val="24"/>
          <w:szCs w:val="24"/>
        </w:rPr>
        <w:t xml:space="preserve"> roku w sprawie szczegółowych zasad odbywania praktyki przez aplikantów aplikacji sędziowskiej i </w:t>
      </w:r>
      <w:r w:rsidR="005052C3" w:rsidRPr="006D2112">
        <w:rPr>
          <w:rFonts w:asciiTheme="minorHAnsi" w:hAnsiTheme="minorHAnsi" w:cstheme="minorHAnsi"/>
          <w:sz w:val="24"/>
          <w:szCs w:val="24"/>
        </w:rPr>
        <w:t xml:space="preserve">aplikacji </w:t>
      </w:r>
      <w:r w:rsidRPr="006D2112">
        <w:rPr>
          <w:rFonts w:asciiTheme="minorHAnsi" w:hAnsiTheme="minorHAnsi" w:cstheme="minorHAnsi"/>
          <w:sz w:val="24"/>
          <w:szCs w:val="24"/>
        </w:rPr>
        <w:t xml:space="preserve">prokuratorskiej, uprzejmie przedstawiam szczegółowy zakres tematyczny, który powinien być przedmiotem praktyk aplikantów aplikacji prokuratorskiej odbywanych w dniach od </w:t>
      </w:r>
      <w:r w:rsidR="003F6221">
        <w:rPr>
          <w:rFonts w:asciiTheme="minorHAnsi" w:hAnsiTheme="minorHAnsi" w:cstheme="minorHAnsi"/>
          <w:b/>
          <w:sz w:val="24"/>
          <w:szCs w:val="24"/>
        </w:rPr>
        <w:t>1</w:t>
      </w:r>
      <w:r w:rsidR="00860605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4E07E9" w:rsidRPr="006D2112">
        <w:rPr>
          <w:rFonts w:asciiTheme="minorHAnsi" w:hAnsiTheme="minorHAnsi" w:cstheme="minorHAnsi"/>
          <w:b/>
          <w:sz w:val="24"/>
          <w:szCs w:val="24"/>
        </w:rPr>
        <w:t xml:space="preserve">maja </w:t>
      </w:r>
      <w:r w:rsidR="003F6221">
        <w:rPr>
          <w:rFonts w:asciiTheme="minorHAnsi" w:hAnsiTheme="minorHAnsi" w:cstheme="minorHAnsi"/>
          <w:b/>
          <w:sz w:val="24"/>
          <w:szCs w:val="24"/>
        </w:rPr>
        <w:t>-</w:t>
      </w:r>
      <w:r w:rsidR="00860605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="003F6221">
        <w:rPr>
          <w:rFonts w:asciiTheme="minorHAnsi" w:hAnsiTheme="minorHAnsi" w:cstheme="minorHAnsi"/>
          <w:b/>
          <w:sz w:val="24"/>
          <w:szCs w:val="24"/>
        </w:rPr>
        <w:t xml:space="preserve"> czerwca </w:t>
      </w:r>
      <w:r w:rsidR="000079FB" w:rsidRPr="006D2112">
        <w:rPr>
          <w:rFonts w:asciiTheme="minorHAnsi" w:hAnsiTheme="minorHAnsi" w:cstheme="minorHAnsi"/>
          <w:b/>
          <w:sz w:val="24"/>
          <w:szCs w:val="24"/>
        </w:rPr>
        <w:t>202</w:t>
      </w:r>
      <w:r w:rsidR="00EB6F35">
        <w:rPr>
          <w:rFonts w:asciiTheme="minorHAnsi" w:hAnsiTheme="minorHAnsi" w:cstheme="minorHAnsi"/>
          <w:b/>
          <w:sz w:val="24"/>
          <w:szCs w:val="24"/>
        </w:rPr>
        <w:t>6</w:t>
      </w:r>
      <w:r w:rsidR="000079FB" w:rsidRPr="006D21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4825" w:rsidRPr="006D2112">
        <w:rPr>
          <w:rFonts w:asciiTheme="minorHAnsi" w:hAnsiTheme="minorHAnsi" w:cstheme="minorHAnsi"/>
          <w:b/>
          <w:sz w:val="24"/>
          <w:szCs w:val="24"/>
        </w:rPr>
        <w:t xml:space="preserve">roku </w:t>
      </w:r>
      <w:r w:rsidR="000079FB" w:rsidRPr="006D2112">
        <w:rPr>
          <w:rFonts w:asciiTheme="minorHAnsi" w:hAnsiTheme="minorHAnsi" w:cstheme="minorHAnsi"/>
          <w:b/>
          <w:sz w:val="24"/>
          <w:szCs w:val="24"/>
        </w:rPr>
        <w:t>w prokuraturach rejonowy</w:t>
      </w:r>
      <w:r w:rsidR="003F6221">
        <w:rPr>
          <w:rFonts w:asciiTheme="minorHAnsi" w:hAnsiTheme="minorHAnsi" w:cstheme="minorHAnsi"/>
          <w:b/>
          <w:sz w:val="24"/>
          <w:szCs w:val="24"/>
        </w:rPr>
        <w:t>ch (</w:t>
      </w:r>
      <w:r w:rsidR="00860605">
        <w:rPr>
          <w:rFonts w:asciiTheme="minorHAnsi" w:hAnsiTheme="minorHAnsi" w:cstheme="minorHAnsi"/>
          <w:b/>
          <w:sz w:val="24"/>
          <w:szCs w:val="24"/>
        </w:rPr>
        <w:t>4</w:t>
      </w:r>
      <w:r w:rsidR="005C2BCC" w:rsidRPr="006D2112">
        <w:rPr>
          <w:rFonts w:asciiTheme="minorHAnsi" w:hAnsiTheme="minorHAnsi" w:cstheme="minorHAnsi"/>
          <w:b/>
          <w:sz w:val="24"/>
          <w:szCs w:val="24"/>
        </w:rPr>
        <w:t xml:space="preserve"> tyg</w:t>
      </w:r>
      <w:r w:rsidR="00860605">
        <w:rPr>
          <w:rFonts w:asciiTheme="minorHAnsi" w:hAnsiTheme="minorHAnsi" w:cstheme="minorHAnsi"/>
          <w:b/>
          <w:sz w:val="24"/>
          <w:szCs w:val="24"/>
        </w:rPr>
        <w:t>odnie</w:t>
      </w:r>
      <w:r w:rsidR="005C2BCC" w:rsidRPr="006D2112">
        <w:rPr>
          <w:rFonts w:asciiTheme="minorHAnsi" w:hAnsiTheme="minorHAnsi" w:cstheme="minorHAnsi"/>
          <w:b/>
          <w:sz w:val="24"/>
          <w:szCs w:val="24"/>
        </w:rPr>
        <w:t>)</w:t>
      </w:r>
      <w:r w:rsidR="00F74165">
        <w:rPr>
          <w:rFonts w:asciiTheme="minorHAnsi" w:hAnsiTheme="minorHAnsi" w:cstheme="minorHAnsi"/>
          <w:b/>
          <w:sz w:val="24"/>
          <w:szCs w:val="24"/>
        </w:rPr>
        <w:t>.</w:t>
      </w:r>
    </w:p>
    <w:p w14:paraId="1A456D3B" w14:textId="77777777" w:rsidR="00F74165" w:rsidRPr="006D2112" w:rsidRDefault="00F74165" w:rsidP="00F74165">
      <w:pPr>
        <w:spacing w:after="12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7C1DD6" w14:textId="77777777" w:rsidR="006D2112" w:rsidRPr="006D2112" w:rsidRDefault="005C2BCC" w:rsidP="00F74165">
      <w:pPr>
        <w:framePr w:hSpace="141" w:wrap="around" w:vAnchor="text" w:hAnchor="text" w:xAlign="center" w:y="1"/>
        <w:widowControl w:val="0"/>
        <w:jc w:val="both"/>
        <w:rPr>
          <w:rFonts w:asciiTheme="minorHAnsi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>Celem praktyki jest zapoznanie aplikantów ze sposobem opracowywania postanowień prokuratora wydawanych w toku postępowania, a nadto utrwalenie praktycznych umiejętności opracowywania wytycznych po wszczęciu postępowania przygotowawczego, planu śledztwa/dochodzenia (planu czynności śledczych lub dochodzeniowych) oraz postanowień o wszczęciu i odmowie wszczęcia postępowania przygotowawczego.</w:t>
      </w:r>
    </w:p>
    <w:p w14:paraId="58919DCA" w14:textId="77777777" w:rsidR="00F74165" w:rsidRDefault="00F74165" w:rsidP="00F74165">
      <w:pPr>
        <w:spacing w:after="12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5F42BF" w14:textId="77777777" w:rsidR="006D2112" w:rsidRDefault="006A6220" w:rsidP="00F74165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>Patroni praktyk winni zadbać, aby aplikanci</w:t>
      </w:r>
      <w:r w:rsidR="009063C6" w:rsidRPr="006D211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063C6" w:rsidRPr="006D2112">
        <w:rPr>
          <w:rFonts w:asciiTheme="minorHAnsi" w:hAnsiTheme="minorHAnsi" w:cstheme="minorHAnsi"/>
          <w:sz w:val="24"/>
          <w:szCs w:val="24"/>
        </w:rPr>
        <w:t xml:space="preserve">w pierwszej kolejności mieli możliwość zapoznania się z praktycznymi aspektami pracy prokuratora w zakresie objętym tematyką zjazdu. </w:t>
      </w:r>
    </w:p>
    <w:p w14:paraId="1290769A" w14:textId="77777777" w:rsidR="00F74165" w:rsidRPr="00F74165" w:rsidRDefault="00F74165" w:rsidP="00F74165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B22A3EC" w14:textId="77777777" w:rsidR="005C2BCC" w:rsidRPr="006D2112" w:rsidRDefault="009063C6" w:rsidP="00F74165">
      <w:pPr>
        <w:widowControl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2112">
        <w:rPr>
          <w:rFonts w:asciiTheme="minorHAnsi" w:hAnsiTheme="minorHAnsi" w:cstheme="minorHAnsi"/>
          <w:b/>
          <w:sz w:val="24"/>
          <w:szCs w:val="24"/>
        </w:rPr>
        <w:t xml:space="preserve">Dlatego podczas praktyk aplikanci powinni </w:t>
      </w:r>
      <w:r w:rsidR="00572C68" w:rsidRPr="006D2112">
        <w:rPr>
          <w:rFonts w:asciiTheme="minorHAnsi" w:hAnsiTheme="minorHAnsi" w:cstheme="minorHAnsi"/>
          <w:b/>
          <w:sz w:val="24"/>
          <w:szCs w:val="24"/>
        </w:rPr>
        <w:t>nabyć umiejętności związanych z:</w:t>
      </w:r>
    </w:p>
    <w:p w14:paraId="0AF7747F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lastRenderedPageBreak/>
        <w:t xml:space="preserve">opracowywaniem wytycznych na etapie postępowania przygotowawczego; </w:t>
      </w:r>
    </w:p>
    <w:p w14:paraId="523CE4DB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 xml:space="preserve"> metodyką prowadzenia tzw. spraw rejestrowych, zakończonych wpisaniem do rejestru przestępstw oraz prowadzonych w trybie art.308 </w:t>
      </w:r>
      <w:proofErr w:type="spellStart"/>
      <w:r w:rsidRPr="006D2112">
        <w:rPr>
          <w:rFonts w:cstheme="minorHAnsi"/>
          <w:sz w:val="24"/>
          <w:szCs w:val="24"/>
        </w:rPr>
        <w:t>kpk</w:t>
      </w:r>
      <w:proofErr w:type="spellEnd"/>
      <w:r w:rsidRPr="006D2112">
        <w:rPr>
          <w:rFonts w:cstheme="minorHAnsi"/>
          <w:sz w:val="24"/>
          <w:szCs w:val="24"/>
        </w:rPr>
        <w:t>;</w:t>
      </w:r>
    </w:p>
    <w:p w14:paraId="052492A8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>oceną zebranego w sprawie materiału pod kątem podjęcia decyzji o wszczęciu lub odmowie wszczęcia dochodzenia/śledztwa;</w:t>
      </w:r>
    </w:p>
    <w:p w14:paraId="671AFC7D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>sporządzaniem projektów: postanowień o wszczęciu postępowania przygotowawczego (dochodzenia/śledztwa) wraz z uzasadnieniem;</w:t>
      </w:r>
    </w:p>
    <w:p w14:paraId="11552FDD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>sporządzaniem projektów zarządzeń o powierzeniu innym organom przeprowadzenia śledztwa w całości lub w określonym zakresie albo dokonania poszczególnych czynności śledztwa, które to decyzje powinny zawierać uzasadnienie;</w:t>
      </w:r>
    </w:p>
    <w:p w14:paraId="0C19ECB5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 xml:space="preserve"> sporządzaniem planów śledztw, planów czynności śledczych lub dochodzeniowych;</w:t>
      </w:r>
    </w:p>
    <w:p w14:paraId="599A90CD" w14:textId="77777777" w:rsidR="00572C68" w:rsidRPr="006D2112" w:rsidRDefault="00572C68" w:rsidP="00F74165">
      <w:pPr>
        <w:pStyle w:val="Akapitzlist"/>
        <w:framePr w:hSpace="141" w:wrap="around" w:vAnchor="text" w:hAnchor="text" w:xAlign="center" w:y="1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6D2112">
        <w:rPr>
          <w:rFonts w:cstheme="minorHAnsi"/>
          <w:sz w:val="24"/>
          <w:szCs w:val="24"/>
        </w:rPr>
        <w:t xml:space="preserve">sporządzaniem projektów postanowień o odmowie wszczęcia dochodzenia lub śledztwa. </w:t>
      </w:r>
    </w:p>
    <w:p w14:paraId="19B1F964" w14:textId="77777777" w:rsidR="00572C68" w:rsidRPr="006D2112" w:rsidRDefault="00572C68" w:rsidP="00F74165">
      <w:pPr>
        <w:framePr w:hSpace="141" w:wrap="around" w:vAnchor="text" w:hAnchor="text" w:xAlign="center" w:y="1"/>
        <w:ind w:left="360" w:firstLine="34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>Podczas praktyk aplikanci powinni także zapoznawać się na bieżąco z metodyką pracy prokuratora – patrona praktyk, w szczególności z czynnościami wykonywanymi osobiście przez prokuratora w śledztwie w tym przesłuchaniem podejrzanego i świadka (pokrzywdzonego), udziałem w oględzinach miejsc zdarzenia, a także sposobem sprawowania przez prokur</w:t>
      </w:r>
      <w:r w:rsidR="00F82498">
        <w:rPr>
          <w:rFonts w:asciiTheme="minorHAnsi" w:hAnsiTheme="minorHAnsi" w:cstheme="minorHAnsi"/>
          <w:sz w:val="24"/>
          <w:szCs w:val="24"/>
        </w:rPr>
        <w:t xml:space="preserve">atora nadzoru nad dochodzeniem i uczestniczyć w tych czynnościach. </w:t>
      </w:r>
    </w:p>
    <w:p w14:paraId="5BB940E7" w14:textId="77777777" w:rsidR="00572C68" w:rsidRPr="006D2112" w:rsidRDefault="00572C68" w:rsidP="00F74165">
      <w:pPr>
        <w:framePr w:hSpace="141" w:wrap="around" w:vAnchor="text" w:hAnchor="text" w:xAlign="center" w:y="1"/>
        <w:ind w:left="360" w:firstLine="34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>Powyższe nie wyklucza możliwości powierzania aplikantom również innych zadań wynikających z bieżącego toku pracy prokuratorskiej, zwłaszcza takich, z którymi dotychczas jeszcze się nie zetknęli lub w których nie uczestniczyli.</w:t>
      </w:r>
    </w:p>
    <w:p w14:paraId="6CFBB402" w14:textId="77777777" w:rsidR="005C2BCC" w:rsidRPr="006D2112" w:rsidRDefault="005C2BCC" w:rsidP="00F74165">
      <w:pPr>
        <w:widowControl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F35A59E" w14:textId="77777777" w:rsidR="009063C6" w:rsidRPr="006D2112" w:rsidRDefault="00701FDE" w:rsidP="00F74165">
      <w:pPr>
        <w:widowControl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63C6" w:rsidRPr="006D2112">
        <w:rPr>
          <w:rFonts w:asciiTheme="minorHAnsi" w:hAnsiTheme="minorHAnsi" w:cstheme="minorHAnsi"/>
          <w:sz w:val="24"/>
          <w:szCs w:val="24"/>
        </w:rPr>
        <w:t>stotne jest, aby w ramach odbywanej praktyki aplikanci mieli możliwość aktywnego zapoznania się z przebiegiem postępowań sprawdzających, ze szczególnym zwróceniem uwagi na czynności podejmowane w cz</w:t>
      </w:r>
      <w:r w:rsidR="00161981" w:rsidRPr="006D2112">
        <w:rPr>
          <w:rFonts w:asciiTheme="minorHAnsi" w:hAnsiTheme="minorHAnsi" w:cstheme="minorHAnsi"/>
          <w:sz w:val="24"/>
          <w:szCs w:val="24"/>
        </w:rPr>
        <w:t>asie ich trwania oraz terminami</w:t>
      </w:r>
      <w:r w:rsidR="00161981" w:rsidRPr="006D2112">
        <w:rPr>
          <w:rFonts w:asciiTheme="minorHAnsi" w:hAnsiTheme="minorHAnsi" w:cstheme="minorHAnsi"/>
          <w:sz w:val="24"/>
          <w:szCs w:val="24"/>
        </w:rPr>
        <w:br/>
      </w:r>
      <w:r w:rsidR="009063C6" w:rsidRPr="006D2112">
        <w:rPr>
          <w:rFonts w:asciiTheme="minorHAnsi" w:hAnsiTheme="minorHAnsi" w:cstheme="minorHAnsi"/>
          <w:sz w:val="24"/>
          <w:szCs w:val="24"/>
        </w:rPr>
        <w:t>ich podejmowania. Ważnym jest, aby aplikanci mieli możliwość uczestniczenia</w:t>
      </w:r>
      <w:r w:rsidR="00161981" w:rsidRPr="006D2112">
        <w:rPr>
          <w:rFonts w:asciiTheme="minorHAnsi" w:hAnsiTheme="minorHAnsi" w:cstheme="minorHAnsi"/>
          <w:sz w:val="24"/>
          <w:szCs w:val="24"/>
        </w:rPr>
        <w:br/>
      </w:r>
      <w:r w:rsidR="009063C6" w:rsidRPr="006D2112">
        <w:rPr>
          <w:rFonts w:asciiTheme="minorHAnsi" w:hAnsiTheme="minorHAnsi" w:cstheme="minorHAnsi"/>
          <w:sz w:val="24"/>
          <w:szCs w:val="24"/>
        </w:rPr>
        <w:t xml:space="preserve"> w czynnościach związanych z p</w:t>
      </w:r>
      <w:r w:rsidR="00161981" w:rsidRPr="006D2112">
        <w:rPr>
          <w:rFonts w:asciiTheme="minorHAnsi" w:hAnsiTheme="minorHAnsi" w:cstheme="minorHAnsi"/>
          <w:sz w:val="24"/>
          <w:szCs w:val="24"/>
        </w:rPr>
        <w:t xml:space="preserve">rzyjęciem ustnego zawiadomienia </w:t>
      </w:r>
      <w:r w:rsidR="009063C6" w:rsidRPr="006D2112">
        <w:rPr>
          <w:rFonts w:asciiTheme="minorHAnsi" w:hAnsiTheme="minorHAnsi" w:cstheme="minorHAnsi"/>
          <w:sz w:val="24"/>
          <w:szCs w:val="24"/>
        </w:rPr>
        <w:t>o popełnieniu przestępstwa</w:t>
      </w:r>
      <w:r>
        <w:rPr>
          <w:rFonts w:asciiTheme="minorHAnsi" w:hAnsiTheme="minorHAnsi" w:cstheme="minorHAnsi"/>
          <w:sz w:val="24"/>
          <w:szCs w:val="24"/>
        </w:rPr>
        <w:t>,</w:t>
      </w:r>
      <w:r w:rsidR="009063C6" w:rsidRPr="006D2112">
        <w:rPr>
          <w:rFonts w:asciiTheme="minorHAnsi" w:hAnsiTheme="minorHAnsi" w:cstheme="minorHAnsi"/>
          <w:sz w:val="24"/>
          <w:szCs w:val="24"/>
        </w:rPr>
        <w:t xml:space="preserve"> celem sprawdzenia okoliczności zawartych </w:t>
      </w:r>
      <w:r w:rsidR="008830AA" w:rsidRPr="006D2112">
        <w:rPr>
          <w:rFonts w:asciiTheme="minorHAnsi" w:hAnsiTheme="minorHAnsi" w:cstheme="minorHAnsi"/>
          <w:sz w:val="24"/>
          <w:szCs w:val="24"/>
        </w:rPr>
        <w:t xml:space="preserve">w zawiadomieniu, </w:t>
      </w:r>
      <w:r w:rsidR="009063C6" w:rsidRPr="006D2112">
        <w:rPr>
          <w:rFonts w:asciiTheme="minorHAnsi" w:hAnsiTheme="minorHAnsi" w:cstheme="minorHAnsi"/>
          <w:sz w:val="24"/>
          <w:szCs w:val="24"/>
        </w:rPr>
        <w:t>sporządzaniem</w:t>
      </w:r>
      <w:r w:rsidR="008830AA" w:rsidRPr="006D2112">
        <w:rPr>
          <w:rFonts w:asciiTheme="minorHAnsi" w:hAnsiTheme="minorHAnsi" w:cstheme="minorHAnsi"/>
          <w:sz w:val="24"/>
          <w:szCs w:val="24"/>
        </w:rPr>
        <w:t xml:space="preserve"> projektów wytycznych, a także podejmowaniem decyzji, </w:t>
      </w:r>
      <w:r w:rsidR="009063C6" w:rsidRPr="006D2112">
        <w:rPr>
          <w:rFonts w:asciiTheme="minorHAnsi" w:hAnsiTheme="minorHAnsi" w:cstheme="minorHAnsi"/>
          <w:sz w:val="24"/>
          <w:szCs w:val="24"/>
        </w:rPr>
        <w:t>co do wszczęcia postępowania przygotowawczego, powierzaniem śledztwa w całości lub w określonym zakresie albo powierzaniem dokonania poszczególnych czynności śledztwa i spo</w:t>
      </w:r>
      <w:r w:rsidR="00572C68" w:rsidRPr="006D2112">
        <w:rPr>
          <w:rFonts w:asciiTheme="minorHAnsi" w:hAnsiTheme="minorHAnsi" w:cstheme="minorHAnsi"/>
          <w:sz w:val="24"/>
          <w:szCs w:val="24"/>
        </w:rPr>
        <w:t>rządzanie</w:t>
      </w:r>
      <w:r w:rsidR="008830AA" w:rsidRPr="006D2112">
        <w:rPr>
          <w:rFonts w:asciiTheme="minorHAnsi" w:hAnsiTheme="minorHAnsi" w:cstheme="minorHAnsi"/>
          <w:sz w:val="24"/>
          <w:szCs w:val="24"/>
        </w:rPr>
        <w:t xml:space="preserve"> projektów wytycznych, </w:t>
      </w:r>
      <w:r w:rsidR="009063C6" w:rsidRPr="006D2112">
        <w:rPr>
          <w:rFonts w:asciiTheme="minorHAnsi" w:hAnsiTheme="minorHAnsi" w:cstheme="minorHAnsi"/>
          <w:sz w:val="24"/>
          <w:szCs w:val="24"/>
        </w:rPr>
        <w:t xml:space="preserve">co do dalszego toku prowadzenia dochodzenia lub powierzonego śledztwa. Ważnym jest także, aby aplikanci w trakcie </w:t>
      </w:r>
      <w:r w:rsidR="008830AA" w:rsidRPr="006D2112">
        <w:rPr>
          <w:rFonts w:asciiTheme="minorHAnsi" w:hAnsiTheme="minorHAnsi" w:cstheme="minorHAnsi"/>
          <w:sz w:val="24"/>
          <w:szCs w:val="24"/>
        </w:rPr>
        <w:t>praktyki opracowywali projekty postanowień</w:t>
      </w:r>
      <w:r w:rsidR="008830AA" w:rsidRPr="006D2112">
        <w:rPr>
          <w:rFonts w:asciiTheme="minorHAnsi" w:hAnsiTheme="minorHAnsi" w:cstheme="minorHAnsi"/>
          <w:sz w:val="24"/>
          <w:szCs w:val="24"/>
        </w:rPr>
        <w:br/>
      </w:r>
      <w:r w:rsidR="009063C6" w:rsidRPr="006D2112">
        <w:rPr>
          <w:rFonts w:asciiTheme="minorHAnsi" w:hAnsiTheme="minorHAnsi" w:cstheme="minorHAnsi"/>
          <w:sz w:val="24"/>
          <w:szCs w:val="24"/>
        </w:rPr>
        <w:t>o wszczęciu lub odmowie wszczęcia</w:t>
      </w:r>
      <w:r w:rsidR="008830AA" w:rsidRPr="006D2112">
        <w:rPr>
          <w:rFonts w:asciiTheme="minorHAnsi" w:hAnsiTheme="minorHAnsi" w:cstheme="minorHAnsi"/>
          <w:sz w:val="24"/>
          <w:szCs w:val="24"/>
        </w:rPr>
        <w:t xml:space="preserve"> postępowania przygotowawczego.</w:t>
      </w:r>
    </w:p>
    <w:p w14:paraId="181F5FAA" w14:textId="77777777" w:rsidR="009063C6" w:rsidRPr="00F82498" w:rsidRDefault="009063C6" w:rsidP="00F74165">
      <w:pPr>
        <w:widowControl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D2112">
        <w:rPr>
          <w:rFonts w:asciiTheme="minorHAnsi" w:hAnsiTheme="minorHAnsi" w:cstheme="minorHAnsi"/>
          <w:sz w:val="24"/>
          <w:szCs w:val="24"/>
        </w:rPr>
        <w:t xml:space="preserve">Istotnym przy ocenie przez patronów praktyk prac wykonywanych przez aplikantów, zwłaszcza projektów sporządzanych przez nich decyzji, jest zwracanie uwagi nie tylko </w:t>
      </w:r>
      <w:r w:rsidR="008830AA" w:rsidRPr="006D2112">
        <w:rPr>
          <w:rFonts w:asciiTheme="minorHAnsi" w:hAnsiTheme="minorHAnsi" w:cstheme="minorHAnsi"/>
          <w:sz w:val="24"/>
          <w:szCs w:val="24"/>
        </w:rPr>
        <w:br/>
      </w:r>
      <w:r w:rsidRPr="006D2112">
        <w:rPr>
          <w:rFonts w:asciiTheme="minorHAnsi" w:hAnsiTheme="minorHAnsi" w:cstheme="minorHAnsi"/>
          <w:sz w:val="24"/>
          <w:szCs w:val="24"/>
        </w:rPr>
        <w:t xml:space="preserve">na merytoryczną trafność i formalną poprawność samego rozstrzygnięcia, ale i rodzaj użytej </w:t>
      </w:r>
      <w:r w:rsidRPr="00F82498">
        <w:rPr>
          <w:rFonts w:asciiTheme="minorHAnsi" w:hAnsiTheme="minorHAnsi" w:cstheme="minorHAnsi"/>
          <w:sz w:val="24"/>
          <w:szCs w:val="24"/>
        </w:rPr>
        <w:lastRenderedPageBreak/>
        <w:t xml:space="preserve">argumentacji, logikę i poprawność językową. </w:t>
      </w:r>
    </w:p>
    <w:p w14:paraId="06A5B841" w14:textId="77777777" w:rsidR="006D2112" w:rsidRPr="00F82498" w:rsidRDefault="006D2112" w:rsidP="00F74165">
      <w:pPr>
        <w:framePr w:hSpace="141" w:wrap="around" w:vAnchor="text" w:hAnchor="text" w:xAlign="center" w:y="1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82498">
        <w:rPr>
          <w:rFonts w:asciiTheme="minorHAnsi" w:hAnsiTheme="minorHAnsi" w:cstheme="minorHAnsi"/>
          <w:sz w:val="24"/>
          <w:szCs w:val="24"/>
        </w:rPr>
        <w:t>Uprzejmie przypominam, że przedmiotem sprawdzianu, który aplikanci będą pisać po odbyciu praktyk po 2. i 3. zjeździe będzie sporządzenie – stosownie do dokonanej przez aplikanta oceny przedłożonych mu materiałów – projektu postanowienia o wszczęciu postępowania przygotowawczego, zarządzenia o powierzeniu przeprowadzenia śledztwa oraz wytycznych, co do jego dalszego toku albo projektu postanowienia o odmowie wszczęcia dochodzenia lub śledztwa, które to projekty decyzji procesowych powinny zawierać uzasadnienie.</w:t>
      </w:r>
      <w:r w:rsidR="00701FDE">
        <w:rPr>
          <w:rFonts w:asciiTheme="minorHAnsi" w:hAnsiTheme="minorHAnsi" w:cstheme="minorHAnsi"/>
          <w:sz w:val="24"/>
          <w:szCs w:val="24"/>
        </w:rPr>
        <w:t xml:space="preserve"> Z tego względu istotnym </w:t>
      </w:r>
      <w:r w:rsidRPr="00F82498">
        <w:rPr>
          <w:rFonts w:asciiTheme="minorHAnsi" w:hAnsiTheme="minorHAnsi" w:cstheme="minorHAnsi"/>
          <w:sz w:val="24"/>
          <w:szCs w:val="24"/>
        </w:rPr>
        <w:t>jest, aby aplikanci podczas praktyk opanowali tę umiejętność w jak najwyższym stopniu.</w:t>
      </w:r>
    </w:p>
    <w:p w14:paraId="1E9A51A2" w14:textId="77777777" w:rsidR="00FC4370" w:rsidRPr="00F82498" w:rsidRDefault="00FC4370" w:rsidP="006D2112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3A7A49" w14:textId="77777777" w:rsidR="006D2112" w:rsidRPr="00EB6F35" w:rsidRDefault="006D2112" w:rsidP="00EB6F35">
      <w:pPr>
        <w:pStyle w:val="Akapitzlist"/>
        <w:framePr w:hSpace="141" w:wrap="around" w:vAnchor="text" w:hAnchor="text" w:xAlign="center" w:y="1"/>
        <w:spacing w:after="0"/>
        <w:ind w:left="1416" w:firstLine="708"/>
        <w:jc w:val="center"/>
        <w:rPr>
          <w:rFonts w:eastAsia="Calibri" w:cstheme="minorHAnsi"/>
          <w:bCs/>
          <w:sz w:val="24"/>
          <w:szCs w:val="24"/>
        </w:rPr>
      </w:pPr>
      <w:r w:rsidRPr="00EB6F35">
        <w:rPr>
          <w:rFonts w:cstheme="minorHAnsi"/>
          <w:sz w:val="24"/>
          <w:szCs w:val="24"/>
        </w:rPr>
        <w:t>Kierownik</w:t>
      </w:r>
    </w:p>
    <w:p w14:paraId="5B721277" w14:textId="77777777" w:rsidR="006D2112" w:rsidRPr="00EB6F35" w:rsidRDefault="006D2112" w:rsidP="00EB6F35">
      <w:pPr>
        <w:framePr w:hSpace="141" w:wrap="around" w:vAnchor="text" w:hAnchor="text" w:xAlign="center" w:y="1"/>
        <w:spacing w:after="0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EB6F35">
        <w:rPr>
          <w:rFonts w:asciiTheme="minorHAnsi" w:hAnsiTheme="minorHAnsi" w:cstheme="minorHAnsi"/>
          <w:sz w:val="24"/>
          <w:szCs w:val="24"/>
        </w:rPr>
        <w:t>Działu Dydaktycznego</w:t>
      </w:r>
    </w:p>
    <w:p w14:paraId="423B582A" w14:textId="77777777" w:rsidR="006D2112" w:rsidRPr="00EB6F35" w:rsidRDefault="006D2112" w:rsidP="00EB6F35">
      <w:pPr>
        <w:framePr w:hSpace="141" w:wrap="around" w:vAnchor="text" w:hAnchor="text" w:xAlign="center" w:y="1"/>
        <w:spacing w:after="0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EB6F35">
        <w:rPr>
          <w:rFonts w:asciiTheme="minorHAnsi" w:hAnsiTheme="minorHAnsi" w:cstheme="minorHAnsi"/>
          <w:sz w:val="24"/>
          <w:szCs w:val="24"/>
        </w:rPr>
        <w:t>w Ośrodku Aplikacji Prokuratorskiej</w:t>
      </w:r>
    </w:p>
    <w:p w14:paraId="79B2238A" w14:textId="77777777" w:rsidR="006D2112" w:rsidRPr="00EB6F35" w:rsidRDefault="006D2112" w:rsidP="00EB6F35">
      <w:pPr>
        <w:framePr w:hSpace="141" w:wrap="around" w:vAnchor="text" w:hAnchor="text" w:xAlign="center" w:y="1"/>
        <w:spacing w:after="0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EB6F35">
        <w:rPr>
          <w:rFonts w:asciiTheme="minorHAnsi" w:hAnsiTheme="minorHAnsi" w:cstheme="minorHAnsi"/>
          <w:sz w:val="24"/>
          <w:szCs w:val="24"/>
        </w:rPr>
        <w:t>Krajowej Szkoły Sądownictwa i Prokuratury</w:t>
      </w:r>
    </w:p>
    <w:p w14:paraId="420A4EA2" w14:textId="77777777" w:rsidR="006D2112" w:rsidRPr="00EB6F35" w:rsidRDefault="006D2112" w:rsidP="00EB6F35">
      <w:pPr>
        <w:framePr w:hSpace="141" w:wrap="around" w:vAnchor="text" w:hAnchor="text" w:xAlign="center" w:y="1"/>
        <w:spacing w:after="0" w:line="360" w:lineRule="auto"/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14:paraId="20776D1A" w14:textId="77777777" w:rsidR="006D2112" w:rsidRPr="00EB6F35" w:rsidRDefault="00EB6F35" w:rsidP="00EB6F35">
      <w:pPr>
        <w:framePr w:hSpace="141" w:wrap="around" w:vAnchor="text" w:hAnchor="text" w:xAlign="center" w:y="1"/>
        <w:spacing w:after="0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EB6F35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B6F35">
        <w:rPr>
          <w:rFonts w:asciiTheme="minorHAnsi" w:hAnsiTheme="minorHAnsi" w:cstheme="minorHAnsi"/>
          <w:sz w:val="24"/>
          <w:szCs w:val="24"/>
        </w:rPr>
        <w:t>Seweryn Borek</w:t>
      </w:r>
      <w:r w:rsidR="006D2112" w:rsidRPr="00EB6F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A14687" w14:textId="77777777" w:rsidR="0097797E" w:rsidRPr="00701FDE" w:rsidRDefault="00701FDE" w:rsidP="00EB6F35">
      <w:pPr>
        <w:spacing w:after="0"/>
        <w:ind w:left="3540"/>
        <w:rPr>
          <w:rFonts w:asciiTheme="minorHAnsi" w:hAnsiTheme="minorHAnsi" w:cstheme="minorHAnsi"/>
          <w:b/>
          <w:sz w:val="24"/>
          <w:szCs w:val="24"/>
        </w:rPr>
      </w:pPr>
      <w:r w:rsidRPr="00EB6F35">
        <w:rPr>
          <w:rFonts w:asciiTheme="minorHAnsi" w:hAnsiTheme="minorHAnsi" w:cstheme="minorHAnsi"/>
          <w:sz w:val="24"/>
          <w:szCs w:val="24"/>
        </w:rPr>
        <w:t xml:space="preserve">      </w:t>
      </w:r>
      <w:r w:rsidR="00EB6F35">
        <w:rPr>
          <w:rFonts w:asciiTheme="minorHAnsi" w:hAnsiTheme="minorHAnsi" w:cstheme="minorHAnsi"/>
          <w:sz w:val="24"/>
          <w:szCs w:val="24"/>
        </w:rPr>
        <w:tab/>
      </w:r>
      <w:r w:rsidR="00EB6F35">
        <w:rPr>
          <w:rFonts w:asciiTheme="minorHAnsi" w:hAnsiTheme="minorHAnsi" w:cstheme="minorHAnsi"/>
          <w:sz w:val="24"/>
          <w:szCs w:val="24"/>
        </w:rPr>
        <w:tab/>
      </w:r>
      <w:r w:rsidRPr="00EB6F35">
        <w:rPr>
          <w:rFonts w:asciiTheme="minorHAnsi" w:hAnsiTheme="minorHAnsi" w:cstheme="minorHAnsi"/>
          <w:sz w:val="24"/>
          <w:szCs w:val="24"/>
        </w:rPr>
        <w:t xml:space="preserve"> </w:t>
      </w:r>
      <w:r w:rsidR="00EB6F35">
        <w:rPr>
          <w:rFonts w:asciiTheme="minorHAnsi" w:hAnsiTheme="minorHAnsi" w:cstheme="minorHAnsi"/>
          <w:sz w:val="24"/>
          <w:szCs w:val="24"/>
        </w:rPr>
        <w:t xml:space="preserve">   </w:t>
      </w:r>
      <w:r w:rsidR="006D2112" w:rsidRPr="00EB6F35">
        <w:rPr>
          <w:rFonts w:asciiTheme="minorHAnsi" w:hAnsiTheme="minorHAnsi" w:cstheme="minorHAnsi"/>
          <w:sz w:val="24"/>
          <w:szCs w:val="24"/>
        </w:rPr>
        <w:t>prokurator</w:t>
      </w:r>
    </w:p>
    <w:p w14:paraId="661B78D7" w14:textId="77777777" w:rsidR="00334683" w:rsidRDefault="00334683" w:rsidP="0033468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F7BB1A" w14:textId="77777777" w:rsidR="00334683" w:rsidRDefault="00334683" w:rsidP="0033468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D1BCF9" w14:textId="77777777" w:rsidR="0097797E" w:rsidRPr="00F82498" w:rsidRDefault="0097797E" w:rsidP="0097797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82498">
        <w:rPr>
          <w:rFonts w:asciiTheme="minorHAnsi" w:hAnsiTheme="minorHAnsi" w:cstheme="minorHAnsi"/>
          <w:b/>
          <w:sz w:val="24"/>
          <w:szCs w:val="24"/>
          <w:u w:val="single"/>
        </w:rPr>
        <w:t>Załącznik do zaleceń</w:t>
      </w:r>
      <w:r w:rsidR="006D2112" w:rsidRPr="00F82498">
        <w:rPr>
          <w:rFonts w:asciiTheme="minorHAnsi" w:hAnsiTheme="minorHAnsi" w:cstheme="minorHAnsi"/>
          <w:b/>
          <w:sz w:val="24"/>
          <w:szCs w:val="24"/>
          <w:u w:val="single"/>
        </w:rPr>
        <w:t xml:space="preserve"> do praktyk po 3</w:t>
      </w:r>
      <w:r w:rsidRPr="00F82498">
        <w:rPr>
          <w:rFonts w:asciiTheme="minorHAnsi" w:hAnsiTheme="minorHAnsi" w:cstheme="minorHAnsi"/>
          <w:b/>
          <w:sz w:val="24"/>
          <w:szCs w:val="24"/>
          <w:u w:val="single"/>
        </w:rPr>
        <w:t xml:space="preserve"> zjeździe XVI</w:t>
      </w:r>
      <w:r w:rsidR="00334683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F82498">
        <w:rPr>
          <w:rFonts w:asciiTheme="minorHAnsi" w:hAnsiTheme="minorHAnsi" w:cstheme="minorHAnsi"/>
          <w:b/>
          <w:sz w:val="24"/>
          <w:szCs w:val="24"/>
          <w:u w:val="single"/>
        </w:rPr>
        <w:t xml:space="preserve"> rocznika aplikacji prokuratorskiej</w:t>
      </w:r>
      <w:r w:rsidRPr="00F82498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14B5ED9" w14:textId="77777777" w:rsidR="0097797E" w:rsidRPr="00F82498" w:rsidRDefault="006D2112" w:rsidP="0097797E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82498">
        <w:rPr>
          <w:rFonts w:asciiTheme="minorHAnsi" w:hAnsiTheme="minorHAnsi" w:cstheme="minorHAnsi"/>
          <w:sz w:val="24"/>
          <w:szCs w:val="24"/>
        </w:rPr>
        <w:t>Przedmiotem 3</w:t>
      </w:r>
      <w:r w:rsidR="0097797E" w:rsidRPr="00F82498">
        <w:rPr>
          <w:rFonts w:asciiTheme="minorHAnsi" w:hAnsiTheme="minorHAnsi" w:cstheme="minorHAnsi"/>
          <w:sz w:val="24"/>
          <w:szCs w:val="24"/>
        </w:rPr>
        <w:t xml:space="preserve"> zjazdu XVI</w:t>
      </w:r>
      <w:r w:rsidR="00EB6F35">
        <w:rPr>
          <w:rFonts w:asciiTheme="minorHAnsi" w:hAnsiTheme="minorHAnsi" w:cstheme="minorHAnsi"/>
          <w:sz w:val="24"/>
          <w:szCs w:val="24"/>
        </w:rPr>
        <w:t>I</w:t>
      </w:r>
      <w:r w:rsidR="0097797E" w:rsidRPr="00F82498">
        <w:rPr>
          <w:rFonts w:asciiTheme="minorHAnsi" w:hAnsiTheme="minorHAnsi" w:cstheme="minorHAnsi"/>
          <w:sz w:val="24"/>
          <w:szCs w:val="24"/>
        </w:rPr>
        <w:t xml:space="preserve"> rocznika aplikacji prokuratorskiej, który odbędzie się</w:t>
      </w:r>
      <w:r w:rsidRPr="00F82498">
        <w:rPr>
          <w:rFonts w:asciiTheme="minorHAnsi" w:hAnsiTheme="minorHAnsi" w:cstheme="minorHAnsi"/>
          <w:sz w:val="24"/>
          <w:szCs w:val="24"/>
        </w:rPr>
        <w:br/>
        <w:t xml:space="preserve"> w dniach </w:t>
      </w:r>
      <w:r w:rsidR="00EB6F35">
        <w:rPr>
          <w:rFonts w:asciiTheme="minorHAnsi" w:hAnsiTheme="minorHAnsi" w:cstheme="minorHAnsi"/>
          <w:sz w:val="24"/>
          <w:szCs w:val="24"/>
        </w:rPr>
        <w:t>4 -</w:t>
      </w:r>
      <w:r w:rsidR="00334683">
        <w:rPr>
          <w:rFonts w:asciiTheme="minorHAnsi" w:hAnsiTheme="minorHAnsi" w:cstheme="minorHAnsi"/>
          <w:sz w:val="24"/>
          <w:szCs w:val="24"/>
        </w:rPr>
        <w:t xml:space="preserve"> </w:t>
      </w:r>
      <w:r w:rsidR="00EB6F35">
        <w:rPr>
          <w:rFonts w:asciiTheme="minorHAnsi" w:hAnsiTheme="minorHAnsi" w:cstheme="minorHAnsi"/>
          <w:sz w:val="24"/>
          <w:szCs w:val="24"/>
        </w:rPr>
        <w:t>8</w:t>
      </w:r>
      <w:r w:rsidRPr="00F82498">
        <w:rPr>
          <w:rFonts w:asciiTheme="minorHAnsi" w:hAnsiTheme="minorHAnsi" w:cstheme="minorHAnsi"/>
          <w:sz w:val="24"/>
          <w:szCs w:val="24"/>
        </w:rPr>
        <w:t xml:space="preserve"> maja</w:t>
      </w:r>
      <w:r w:rsidR="0097797E" w:rsidRPr="00F82498">
        <w:rPr>
          <w:rFonts w:asciiTheme="minorHAnsi" w:hAnsiTheme="minorHAnsi" w:cstheme="minorHAnsi"/>
          <w:sz w:val="24"/>
          <w:szCs w:val="24"/>
        </w:rPr>
        <w:t xml:space="preserve"> 202</w:t>
      </w:r>
      <w:r w:rsidR="00EB6F35">
        <w:rPr>
          <w:rFonts w:asciiTheme="minorHAnsi" w:hAnsiTheme="minorHAnsi" w:cstheme="minorHAnsi"/>
          <w:sz w:val="24"/>
          <w:szCs w:val="24"/>
        </w:rPr>
        <w:t xml:space="preserve">6 </w:t>
      </w:r>
      <w:r w:rsidR="0097797E" w:rsidRPr="00F82498">
        <w:rPr>
          <w:rFonts w:asciiTheme="minorHAnsi" w:hAnsiTheme="minorHAnsi" w:cstheme="minorHAnsi"/>
          <w:sz w:val="24"/>
          <w:szCs w:val="24"/>
        </w:rPr>
        <w:t>r. będzie:</w:t>
      </w:r>
    </w:p>
    <w:p w14:paraId="13825BC3" w14:textId="77777777" w:rsidR="006D2112" w:rsidRPr="00F82498" w:rsidRDefault="006D2112" w:rsidP="006D2112">
      <w:pPr>
        <w:pStyle w:val="Nagwek1"/>
        <w:rPr>
          <w:rFonts w:asciiTheme="minorHAnsi" w:hAnsiTheme="minorHAnsi" w:cstheme="minorHAnsi"/>
          <w:b/>
          <w:bCs/>
          <w:szCs w:val="24"/>
        </w:rPr>
      </w:pPr>
      <w:r w:rsidRPr="00F82498">
        <w:rPr>
          <w:rFonts w:asciiTheme="minorHAnsi" w:hAnsiTheme="minorHAnsi" w:cstheme="minorHAnsi"/>
          <w:b/>
          <w:bCs/>
          <w:szCs w:val="24"/>
        </w:rPr>
        <w:t>Psychiatria sądowa z elementami psychologii i seksuologii (część I)</w:t>
      </w:r>
    </w:p>
    <w:p w14:paraId="0B0712C6" w14:textId="77777777" w:rsidR="006D2112" w:rsidRPr="00F82498" w:rsidRDefault="006D2112" w:rsidP="006D2112">
      <w:pPr>
        <w:rPr>
          <w:rFonts w:asciiTheme="minorHAnsi" w:hAnsiTheme="minorHAnsi" w:cstheme="minorHAnsi"/>
          <w:sz w:val="24"/>
          <w:szCs w:val="24"/>
        </w:rPr>
      </w:pPr>
      <w:r w:rsidRPr="00F82498">
        <w:rPr>
          <w:rFonts w:asciiTheme="minorHAnsi" w:hAnsiTheme="minorHAnsi" w:cstheme="minorHAnsi"/>
          <w:sz w:val="24"/>
          <w:szCs w:val="24"/>
        </w:rPr>
        <w:t>Definicja psychiatrii sądowej, jej przedmiot oraz systemy klasyfikacyjne. Podstawowa terminologia. Psychopatologia ogólna i szczegółowa. Struktura i funkcje psychiki człowieka. Osobowość i jej zaburzenia.</w:t>
      </w:r>
    </w:p>
    <w:p w14:paraId="2967DB9F" w14:textId="77777777" w:rsidR="006D2112" w:rsidRPr="00F82498" w:rsidRDefault="006D2112" w:rsidP="006D2112">
      <w:pPr>
        <w:pStyle w:val="Nagwek1"/>
        <w:rPr>
          <w:rFonts w:asciiTheme="minorHAnsi" w:hAnsiTheme="minorHAnsi" w:cstheme="minorHAnsi"/>
          <w:b/>
          <w:bCs/>
          <w:szCs w:val="24"/>
        </w:rPr>
      </w:pPr>
      <w:r w:rsidRPr="00F82498">
        <w:rPr>
          <w:rFonts w:asciiTheme="minorHAnsi" w:hAnsiTheme="minorHAnsi" w:cstheme="minorHAnsi"/>
          <w:b/>
          <w:bCs/>
          <w:szCs w:val="24"/>
        </w:rPr>
        <w:t>Prawo karne materialne</w:t>
      </w:r>
    </w:p>
    <w:p w14:paraId="10612441" w14:textId="77777777" w:rsidR="006D2112" w:rsidRPr="00F82498" w:rsidRDefault="006D2112" w:rsidP="006D2112">
      <w:pPr>
        <w:jc w:val="both"/>
        <w:rPr>
          <w:rFonts w:asciiTheme="minorHAnsi" w:hAnsiTheme="minorHAnsi" w:cstheme="minorHAnsi"/>
          <w:sz w:val="24"/>
          <w:szCs w:val="24"/>
        </w:rPr>
      </w:pPr>
      <w:r w:rsidRPr="00F82498">
        <w:rPr>
          <w:rFonts w:asciiTheme="minorHAnsi" w:hAnsiTheme="minorHAnsi" w:cstheme="minorHAnsi"/>
          <w:sz w:val="24"/>
          <w:szCs w:val="24"/>
        </w:rPr>
        <w:t>Przedmiot ochrony prawnokarnej, strona przedmiotowa przestępstwa (w szczególności z uwzględnieniem odpowiedzialności za przestępstwa skutkowe z zaniechania). Strona podmiotowa przestępstwa. Podmiot przestępstwa.</w:t>
      </w:r>
    </w:p>
    <w:p w14:paraId="79B87BA5" w14:textId="77777777" w:rsidR="006D2112" w:rsidRPr="00F82498" w:rsidRDefault="006D2112" w:rsidP="006D2112">
      <w:pPr>
        <w:pStyle w:val="Nagwek1"/>
        <w:rPr>
          <w:rFonts w:asciiTheme="minorHAnsi" w:hAnsiTheme="minorHAnsi" w:cstheme="minorHAnsi"/>
          <w:b/>
          <w:bCs/>
          <w:szCs w:val="24"/>
        </w:rPr>
      </w:pPr>
      <w:r w:rsidRPr="00F82498">
        <w:rPr>
          <w:rFonts w:asciiTheme="minorHAnsi" w:hAnsiTheme="minorHAnsi" w:cstheme="minorHAnsi"/>
          <w:b/>
          <w:bCs/>
          <w:szCs w:val="24"/>
        </w:rPr>
        <w:lastRenderedPageBreak/>
        <w:t xml:space="preserve">Prawo karne procesowe </w:t>
      </w:r>
    </w:p>
    <w:p w14:paraId="356C6553" w14:textId="77777777" w:rsidR="006D2112" w:rsidRPr="00F82498" w:rsidRDefault="006D2112" w:rsidP="006D2112">
      <w:pPr>
        <w:widowControl w:val="0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Formy postępowania przygotowawczego: śledztwo, dochodzenie.</w:t>
      </w:r>
    </w:p>
    <w:p w14:paraId="1A77E8B6" w14:textId="77777777" w:rsidR="006D2112" w:rsidRPr="00F82498" w:rsidRDefault="006D2112" w:rsidP="006D2112">
      <w:pPr>
        <w:widowControl w:val="0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Czynności wykonywane osobiście przez prokuratora w śledztwie (z</w:t>
      </w:r>
      <w:r w:rsidRPr="00F82498">
        <w:rPr>
          <w:rFonts w:asciiTheme="minorHAnsi" w:hAnsiTheme="minorHAnsi" w:cstheme="minorHAnsi"/>
          <w:b/>
          <w:kern w:val="144"/>
          <w:sz w:val="24"/>
          <w:szCs w:val="24"/>
        </w:rPr>
        <w:t> </w:t>
      </w:r>
      <w:r w:rsidRPr="00F82498">
        <w:rPr>
          <w:rFonts w:asciiTheme="minorHAnsi" w:hAnsiTheme="minorHAnsi" w:cstheme="minorHAnsi"/>
          <w:kern w:val="144"/>
          <w:sz w:val="24"/>
          <w:szCs w:val="24"/>
        </w:rPr>
        <w:t xml:space="preserve">pominięciem problematyki powoływania biegłego i oględzin – por. zjazd VIII), w tym przesłuchanie podejrzanego i świadka w aspekcie procesowym (z pominięciem problematyki świadka anonimowego i koronnego – por. zjazd XII). </w:t>
      </w:r>
    </w:p>
    <w:p w14:paraId="05275381" w14:textId="77777777" w:rsidR="006D2112" w:rsidRPr="00F82498" w:rsidRDefault="006D2112" w:rsidP="006D2112">
      <w:pPr>
        <w:widowControl w:val="0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Najważniejsze czynności i decyzje prokuratora w trakcie śledztwa. Czynności zastrzeżone dla prokuratora oraz czynności powierzone innym organom – w całości lub określonym zakresie.</w:t>
      </w:r>
    </w:p>
    <w:p w14:paraId="50BB36FB" w14:textId="77777777" w:rsidR="006D2112" w:rsidRPr="00F82498" w:rsidRDefault="006D2112" w:rsidP="006D2112">
      <w:pPr>
        <w:widowControl w:val="0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 xml:space="preserve">Nadzór prokuratora nad dochodzeniem. </w:t>
      </w:r>
    </w:p>
    <w:p w14:paraId="39392116" w14:textId="77777777" w:rsidR="006D2112" w:rsidRPr="00F82498" w:rsidRDefault="006D2112" w:rsidP="006D2112">
      <w:pPr>
        <w:widowControl w:val="0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 xml:space="preserve">Ukierunkowywanie biegu postępowania przygotowawczego – opracowywanie wytycznych </w:t>
      </w:r>
      <w:r w:rsidRPr="00F82498">
        <w:rPr>
          <w:rFonts w:asciiTheme="minorHAnsi" w:hAnsiTheme="minorHAnsi" w:cstheme="minorHAnsi"/>
          <w:sz w:val="24"/>
          <w:szCs w:val="24"/>
        </w:rPr>
        <w:t xml:space="preserve">na piśmie, kierowanych przez prokuratora do właściwego organu </w:t>
      </w:r>
      <w:r w:rsidRPr="00F82498">
        <w:rPr>
          <w:rFonts w:asciiTheme="minorHAnsi" w:hAnsiTheme="minorHAnsi" w:cstheme="minorHAnsi"/>
          <w:kern w:val="144"/>
          <w:sz w:val="24"/>
          <w:szCs w:val="24"/>
        </w:rPr>
        <w:t>po wszczęciu postępowania.</w:t>
      </w:r>
    </w:p>
    <w:p w14:paraId="5FB72407" w14:textId="77777777" w:rsidR="006D2112" w:rsidRPr="00F82498" w:rsidRDefault="006D2112" w:rsidP="006D2112">
      <w:pPr>
        <w:widowControl w:val="0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Szczególne formy postępowania.</w:t>
      </w:r>
    </w:p>
    <w:p w14:paraId="0FEE14FC" w14:textId="77777777" w:rsidR="006D2112" w:rsidRPr="00F82498" w:rsidRDefault="006D2112" w:rsidP="006D2112">
      <w:pPr>
        <w:widowControl w:val="0"/>
        <w:rPr>
          <w:rFonts w:asciiTheme="minorHAnsi" w:hAnsiTheme="minorHAnsi" w:cstheme="minorHAnsi"/>
          <w:kern w:val="144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Postępowanie zakończone wpisaniem sprawy do rejestru przestępstw.</w:t>
      </w:r>
    </w:p>
    <w:p w14:paraId="3BA7C55D" w14:textId="77777777" w:rsidR="006D2112" w:rsidRPr="0097797E" w:rsidRDefault="006D2112" w:rsidP="00701FDE">
      <w:pPr>
        <w:keepNext/>
        <w:rPr>
          <w:rFonts w:asciiTheme="minorHAnsi" w:hAnsiTheme="minorHAnsi" w:cstheme="minorHAnsi"/>
          <w:sz w:val="24"/>
          <w:szCs w:val="24"/>
        </w:rPr>
      </w:pPr>
      <w:r w:rsidRPr="00F82498">
        <w:rPr>
          <w:rFonts w:asciiTheme="minorHAnsi" w:hAnsiTheme="minorHAnsi" w:cstheme="minorHAnsi"/>
          <w:kern w:val="144"/>
          <w:sz w:val="24"/>
          <w:szCs w:val="24"/>
        </w:rPr>
        <w:t>Postępowanie w trybie art. 308 k.p.k.</w:t>
      </w:r>
    </w:p>
    <w:p w14:paraId="2E4B5502" w14:textId="77777777" w:rsidR="0097797E" w:rsidRDefault="0097797E" w:rsidP="00C568A4">
      <w:pPr>
        <w:rPr>
          <w:rFonts w:asciiTheme="minorHAnsi" w:hAnsiTheme="minorHAnsi" w:cstheme="minorHAnsi"/>
          <w:sz w:val="24"/>
          <w:szCs w:val="24"/>
        </w:rPr>
      </w:pPr>
    </w:p>
    <w:p w14:paraId="1B08E780" w14:textId="77777777" w:rsidR="00093CAF" w:rsidRPr="0097797E" w:rsidRDefault="00093CAF" w:rsidP="0097797E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kern w:val="144"/>
          <w:sz w:val="24"/>
          <w:szCs w:val="24"/>
        </w:rPr>
      </w:pPr>
    </w:p>
    <w:sectPr w:rsidR="00093CAF" w:rsidRPr="0097797E" w:rsidSect="003D14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5FBC" w14:textId="77777777" w:rsidR="000A7C18" w:rsidRDefault="000A7C18">
      <w:pPr>
        <w:spacing w:after="0" w:line="240" w:lineRule="auto"/>
      </w:pPr>
      <w:r>
        <w:separator/>
      </w:r>
    </w:p>
  </w:endnote>
  <w:endnote w:type="continuationSeparator" w:id="0">
    <w:p w14:paraId="02B04129" w14:textId="77777777" w:rsidR="000A7C18" w:rsidRDefault="000A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A297" w14:textId="77777777" w:rsidR="00000000" w:rsidRDefault="005C137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F6221">
      <w:rPr>
        <w:noProof/>
      </w:rPr>
      <w:t>4</w:t>
    </w:r>
    <w:r>
      <w:rPr>
        <w:noProof/>
      </w:rPr>
      <w:fldChar w:fldCharType="end"/>
    </w:r>
  </w:p>
  <w:p w14:paraId="711A65B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1B510F" w14:paraId="6C6DB943" w14:textId="77777777" w:rsidTr="003D147B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0B5F91EC" w14:textId="77777777" w:rsidR="00000000" w:rsidRPr="0074505E" w:rsidRDefault="00000000" w:rsidP="003D147B">
          <w:pPr>
            <w:pStyle w:val="Stopka"/>
            <w:rPr>
              <w:sz w:val="4"/>
              <w:szCs w:val="4"/>
            </w:rPr>
          </w:pPr>
        </w:p>
      </w:tc>
    </w:tr>
  </w:tbl>
  <w:p w14:paraId="486937D3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078F767E" w14:textId="77777777" w:rsidR="00000000" w:rsidRPr="00A944C8" w:rsidRDefault="005C1373" w:rsidP="000828FB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25C17546" w14:textId="77777777" w:rsidR="00000000" w:rsidRDefault="00000000" w:rsidP="003D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C6B1" w14:textId="77777777" w:rsidR="000A7C18" w:rsidRDefault="000A7C18">
      <w:pPr>
        <w:spacing w:after="0" w:line="240" w:lineRule="auto"/>
      </w:pPr>
      <w:r>
        <w:separator/>
      </w:r>
    </w:p>
  </w:footnote>
  <w:footnote w:type="continuationSeparator" w:id="0">
    <w:p w14:paraId="57CFD78B" w14:textId="77777777" w:rsidR="000A7C18" w:rsidRDefault="000A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1CFD" w14:textId="77777777" w:rsidR="00000000" w:rsidRPr="009B38B3" w:rsidRDefault="005C1373" w:rsidP="003D147B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1BA2" w14:textId="77777777" w:rsidR="00000000" w:rsidRDefault="005C1373" w:rsidP="003D147B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CAF154" wp14:editId="0398DCEA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0DCCC4C3" w14:textId="77777777" w:rsidR="00000000" w:rsidRDefault="00000000" w:rsidP="003D147B">
    <w:pPr>
      <w:pStyle w:val="Nagwek"/>
      <w:ind w:right="4959"/>
      <w:jc w:val="center"/>
      <w:rPr>
        <w:b/>
      </w:rPr>
    </w:pPr>
  </w:p>
  <w:p w14:paraId="03A51515" w14:textId="77777777" w:rsidR="00000000" w:rsidRPr="009E7ADE" w:rsidRDefault="00000000" w:rsidP="003D147B">
    <w:pPr>
      <w:pStyle w:val="Nagwek"/>
      <w:ind w:left="-851" w:right="5526"/>
      <w:jc w:val="center"/>
      <w:rPr>
        <w:b/>
        <w:sz w:val="8"/>
        <w:szCs w:val="8"/>
      </w:rPr>
    </w:pPr>
  </w:p>
  <w:p w14:paraId="6F26687E" w14:textId="77777777" w:rsidR="00000000" w:rsidRPr="00551ABF" w:rsidRDefault="005C1373" w:rsidP="003D147B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2F83ADE0" w14:textId="77777777" w:rsidR="00000000" w:rsidRDefault="005C1373" w:rsidP="003D147B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69B226D7" w14:textId="77777777" w:rsidR="00000000" w:rsidRPr="00D021CB" w:rsidRDefault="00000000" w:rsidP="003D147B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465299">
    <w:abstractNumId w:val="10"/>
  </w:num>
  <w:num w:numId="2" w16cid:durableId="816798649">
    <w:abstractNumId w:val="3"/>
  </w:num>
  <w:num w:numId="3" w16cid:durableId="738403923">
    <w:abstractNumId w:val="8"/>
  </w:num>
  <w:num w:numId="4" w16cid:durableId="855580238">
    <w:abstractNumId w:val="13"/>
  </w:num>
  <w:num w:numId="5" w16cid:durableId="182520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1105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145108">
    <w:abstractNumId w:val="14"/>
  </w:num>
  <w:num w:numId="8" w16cid:durableId="2051100960">
    <w:abstractNumId w:val="17"/>
  </w:num>
  <w:num w:numId="9" w16cid:durableId="21282378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470468">
    <w:abstractNumId w:val="23"/>
  </w:num>
  <w:num w:numId="11" w16cid:durableId="1232349432">
    <w:abstractNumId w:val="19"/>
  </w:num>
  <w:num w:numId="12" w16cid:durableId="1383553275">
    <w:abstractNumId w:val="20"/>
  </w:num>
  <w:num w:numId="13" w16cid:durableId="835076089">
    <w:abstractNumId w:val="15"/>
  </w:num>
  <w:num w:numId="14" w16cid:durableId="133839403">
    <w:abstractNumId w:val="1"/>
  </w:num>
  <w:num w:numId="15" w16cid:durableId="1826584806">
    <w:abstractNumId w:val="22"/>
  </w:num>
  <w:num w:numId="16" w16cid:durableId="540048257">
    <w:abstractNumId w:val="16"/>
  </w:num>
  <w:num w:numId="17" w16cid:durableId="1230380858">
    <w:abstractNumId w:val="5"/>
  </w:num>
  <w:num w:numId="18" w16cid:durableId="1795557254">
    <w:abstractNumId w:val="6"/>
  </w:num>
  <w:num w:numId="19" w16cid:durableId="2074884653">
    <w:abstractNumId w:val="7"/>
  </w:num>
  <w:num w:numId="20" w16cid:durableId="1172835313">
    <w:abstractNumId w:val="9"/>
  </w:num>
  <w:num w:numId="21" w16cid:durableId="2000883149">
    <w:abstractNumId w:val="0"/>
  </w:num>
  <w:num w:numId="22" w16cid:durableId="851144293">
    <w:abstractNumId w:val="2"/>
  </w:num>
  <w:num w:numId="23" w16cid:durableId="911427982">
    <w:abstractNumId w:val="11"/>
  </w:num>
  <w:num w:numId="24" w16cid:durableId="1399206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6813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07234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73"/>
    <w:rsid w:val="000079FB"/>
    <w:rsid w:val="00011321"/>
    <w:rsid w:val="00035B35"/>
    <w:rsid w:val="000641D1"/>
    <w:rsid w:val="0007004D"/>
    <w:rsid w:val="00093CAF"/>
    <w:rsid w:val="000A7C18"/>
    <w:rsid w:val="000B4076"/>
    <w:rsid w:val="000B4FC2"/>
    <w:rsid w:val="00161981"/>
    <w:rsid w:val="001A7C5C"/>
    <w:rsid w:val="001B573E"/>
    <w:rsid w:val="001D00EF"/>
    <w:rsid w:val="00232961"/>
    <w:rsid w:val="002B646D"/>
    <w:rsid w:val="002F3B0F"/>
    <w:rsid w:val="00313D8C"/>
    <w:rsid w:val="00334683"/>
    <w:rsid w:val="00344B32"/>
    <w:rsid w:val="00381D02"/>
    <w:rsid w:val="003969F2"/>
    <w:rsid w:val="003E14E1"/>
    <w:rsid w:val="003F6221"/>
    <w:rsid w:val="00435CDB"/>
    <w:rsid w:val="00482F4C"/>
    <w:rsid w:val="004B7502"/>
    <w:rsid w:val="004E07E9"/>
    <w:rsid w:val="004E0816"/>
    <w:rsid w:val="005052C3"/>
    <w:rsid w:val="00560C39"/>
    <w:rsid w:val="00572C68"/>
    <w:rsid w:val="005A050B"/>
    <w:rsid w:val="005C1373"/>
    <w:rsid w:val="005C2BCC"/>
    <w:rsid w:val="00623CA0"/>
    <w:rsid w:val="006241BE"/>
    <w:rsid w:val="006A6220"/>
    <w:rsid w:val="006D2112"/>
    <w:rsid w:val="00701FDE"/>
    <w:rsid w:val="00727C2B"/>
    <w:rsid w:val="00766977"/>
    <w:rsid w:val="0078274D"/>
    <w:rsid w:val="00784999"/>
    <w:rsid w:val="007E2FC5"/>
    <w:rsid w:val="007E5AD4"/>
    <w:rsid w:val="007F3998"/>
    <w:rsid w:val="008177FC"/>
    <w:rsid w:val="00860605"/>
    <w:rsid w:val="00870D12"/>
    <w:rsid w:val="008830AA"/>
    <w:rsid w:val="008B667E"/>
    <w:rsid w:val="008B6D0B"/>
    <w:rsid w:val="008C070F"/>
    <w:rsid w:val="009063C6"/>
    <w:rsid w:val="009262BD"/>
    <w:rsid w:val="00944825"/>
    <w:rsid w:val="009508D5"/>
    <w:rsid w:val="0097797E"/>
    <w:rsid w:val="00987268"/>
    <w:rsid w:val="009C0B66"/>
    <w:rsid w:val="009C39F4"/>
    <w:rsid w:val="00A0690F"/>
    <w:rsid w:val="00A10440"/>
    <w:rsid w:val="00A53709"/>
    <w:rsid w:val="00A562EA"/>
    <w:rsid w:val="00AC5D7C"/>
    <w:rsid w:val="00AE630A"/>
    <w:rsid w:val="00B464EC"/>
    <w:rsid w:val="00BC1096"/>
    <w:rsid w:val="00BE6944"/>
    <w:rsid w:val="00C568A4"/>
    <w:rsid w:val="00D25D71"/>
    <w:rsid w:val="00E512BB"/>
    <w:rsid w:val="00E81285"/>
    <w:rsid w:val="00E96ACA"/>
    <w:rsid w:val="00EB5690"/>
    <w:rsid w:val="00EB6F35"/>
    <w:rsid w:val="00ED39E2"/>
    <w:rsid w:val="00F05368"/>
    <w:rsid w:val="00F47061"/>
    <w:rsid w:val="00F74165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8DAA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Ewa Tokarz</cp:lastModifiedBy>
  <cp:revision>2</cp:revision>
  <dcterms:created xsi:type="dcterms:W3CDTF">2026-01-20T07:01:00Z</dcterms:created>
  <dcterms:modified xsi:type="dcterms:W3CDTF">2026-01-20T07:01:00Z</dcterms:modified>
</cp:coreProperties>
</file>