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0DD7" w14:textId="35033015" w:rsidR="007C3A8C" w:rsidRPr="001A6F9B" w:rsidRDefault="001A6F9B" w:rsidP="00D81A51">
      <w:pPr>
        <w:spacing w:after="0" w:line="33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r w:rsidRPr="001A6F9B">
        <w:rPr>
          <w:rFonts w:asciiTheme="minorHAnsi" w:hAnsiTheme="minorHAnsi" w:cstheme="minorHAnsi"/>
          <w:i/>
          <w:sz w:val="24"/>
          <w:szCs w:val="24"/>
        </w:rPr>
        <w:t xml:space="preserve">Zalecenia w sprawie praktyk odbywanych przez aplikantów XIV rocznika aplikacji sędziowskiej po 28 zjeździe XIV AS </w:t>
      </w:r>
      <w:r w:rsidRPr="001A6F9B">
        <w:rPr>
          <w:rFonts w:asciiTheme="minorHAnsi" w:eastAsia="Times New Roman" w:hAnsiTheme="minorHAnsi" w:cstheme="minorHAnsi"/>
          <w:b/>
          <w:i/>
          <w:sz w:val="24"/>
          <w:szCs w:val="24"/>
        </w:rPr>
        <w:t>w sądzie okręgowym w wydziale gospodarczym</w:t>
      </w:r>
      <w:r w:rsidR="0065224E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1ED2090C" w14:textId="77777777" w:rsidR="001A6F9B" w:rsidRPr="001A6F9B" w:rsidRDefault="001A6F9B" w:rsidP="00D81A51">
      <w:pPr>
        <w:spacing w:after="0" w:line="33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14:paraId="39C3E0D3" w14:textId="5AB9A3E9" w:rsidR="007C3A8C" w:rsidRPr="001A6F9B" w:rsidRDefault="007C3A8C" w:rsidP="00D81A51">
      <w:pPr>
        <w:spacing w:after="0" w:line="33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1A6F9B">
        <w:rPr>
          <w:rFonts w:asciiTheme="minorHAnsi" w:hAnsiTheme="minorHAnsi" w:cstheme="minorHAnsi"/>
          <w:b/>
          <w:sz w:val="24"/>
          <w:szCs w:val="24"/>
        </w:rPr>
        <w:t>Do</w:t>
      </w:r>
    </w:p>
    <w:p w14:paraId="2A94D1E6" w14:textId="2E610D89" w:rsidR="007C3A8C" w:rsidRPr="001A6F9B" w:rsidRDefault="003469CC" w:rsidP="00D81A51">
      <w:pPr>
        <w:spacing w:after="0" w:line="33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1A6F9B">
        <w:rPr>
          <w:rFonts w:asciiTheme="minorHAnsi" w:hAnsiTheme="minorHAnsi" w:cstheme="minorHAnsi"/>
          <w:b/>
          <w:sz w:val="24"/>
          <w:szCs w:val="24"/>
        </w:rPr>
        <w:t>P</w:t>
      </w:r>
      <w:r w:rsidR="007C3A8C" w:rsidRPr="001A6F9B">
        <w:rPr>
          <w:rFonts w:asciiTheme="minorHAnsi" w:hAnsiTheme="minorHAnsi" w:cstheme="minorHAnsi"/>
          <w:b/>
          <w:sz w:val="24"/>
          <w:szCs w:val="24"/>
        </w:rPr>
        <w:t>atronów praktyk</w:t>
      </w:r>
    </w:p>
    <w:p w14:paraId="2A4536D4" w14:textId="2CA4F94C" w:rsidR="007C3A8C" w:rsidRPr="001A6F9B" w:rsidRDefault="007C3A8C" w:rsidP="00D81A51">
      <w:pPr>
        <w:spacing w:after="0" w:line="33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1A6F9B">
        <w:rPr>
          <w:rFonts w:asciiTheme="minorHAnsi" w:hAnsiTheme="minorHAnsi" w:cstheme="minorHAnsi"/>
          <w:b/>
          <w:sz w:val="24"/>
          <w:szCs w:val="24"/>
        </w:rPr>
        <w:t xml:space="preserve">oraz </w:t>
      </w:r>
      <w:r w:rsidR="003469CC" w:rsidRPr="001A6F9B">
        <w:rPr>
          <w:rFonts w:asciiTheme="minorHAnsi" w:hAnsiTheme="minorHAnsi" w:cstheme="minorHAnsi"/>
          <w:b/>
          <w:sz w:val="24"/>
          <w:szCs w:val="24"/>
        </w:rPr>
        <w:t>P</w:t>
      </w:r>
      <w:r w:rsidRPr="001A6F9B">
        <w:rPr>
          <w:rFonts w:asciiTheme="minorHAnsi" w:hAnsiTheme="minorHAnsi" w:cstheme="minorHAnsi"/>
          <w:b/>
          <w:sz w:val="24"/>
          <w:szCs w:val="24"/>
        </w:rPr>
        <w:t>atronów koordynatorów</w:t>
      </w:r>
    </w:p>
    <w:p w14:paraId="3C55276D" w14:textId="77777777" w:rsidR="007C3A8C" w:rsidRPr="001A6F9B" w:rsidRDefault="007C3A8C" w:rsidP="00D81A51">
      <w:pPr>
        <w:spacing w:after="0" w:line="336" w:lineRule="auto"/>
        <w:ind w:left="4248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6F9B">
        <w:rPr>
          <w:rFonts w:asciiTheme="minorHAnsi" w:hAnsiTheme="minorHAnsi" w:cstheme="minorHAnsi"/>
          <w:b/>
          <w:sz w:val="24"/>
          <w:szCs w:val="24"/>
        </w:rPr>
        <w:t>aplikantów aplikacji sędziowskiej</w:t>
      </w:r>
    </w:p>
    <w:p w14:paraId="4599EDA4" w14:textId="77777777" w:rsidR="0065224E" w:rsidRDefault="0065224E" w:rsidP="00D81A51">
      <w:pPr>
        <w:spacing w:after="0" w:line="33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3A197" w14:textId="27A4ED39" w:rsidR="0065224E" w:rsidRPr="0065224E" w:rsidRDefault="00B23DD8" w:rsidP="00D81A51">
      <w:pPr>
        <w:spacing w:after="120" w:line="336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224E">
        <w:rPr>
          <w:rFonts w:asciiTheme="minorHAnsi" w:hAnsiTheme="minorHAnsi" w:cstheme="minorHAnsi"/>
          <w:sz w:val="24"/>
          <w:szCs w:val="24"/>
        </w:rPr>
        <w:t>Uprzejmie</w:t>
      </w:r>
      <w:r w:rsidR="007C3A8C" w:rsidRPr="0065224E">
        <w:rPr>
          <w:rFonts w:asciiTheme="minorHAnsi" w:hAnsiTheme="minorHAnsi" w:cstheme="minorHAnsi"/>
          <w:sz w:val="24"/>
          <w:szCs w:val="24"/>
        </w:rPr>
        <w:t xml:space="preserve"> przedstawiam szczegółowy zakres tematyczny, który winien być przedmiotem praktyk aplikantów </w:t>
      </w:r>
      <w:r w:rsidRPr="0065224E">
        <w:rPr>
          <w:rFonts w:asciiTheme="minorHAnsi" w:hAnsiTheme="minorHAnsi" w:cstheme="minorHAnsi"/>
          <w:sz w:val="24"/>
          <w:szCs w:val="24"/>
        </w:rPr>
        <w:t>X</w:t>
      </w:r>
      <w:r w:rsidR="0065224E">
        <w:rPr>
          <w:rFonts w:asciiTheme="minorHAnsi" w:hAnsiTheme="minorHAnsi" w:cstheme="minorHAnsi"/>
          <w:sz w:val="24"/>
          <w:szCs w:val="24"/>
        </w:rPr>
        <w:t>IV</w:t>
      </w:r>
      <w:r w:rsidRPr="0065224E">
        <w:rPr>
          <w:rFonts w:asciiTheme="minorHAnsi" w:hAnsiTheme="minorHAnsi" w:cstheme="minorHAnsi"/>
          <w:sz w:val="24"/>
          <w:szCs w:val="24"/>
        </w:rPr>
        <w:t xml:space="preserve"> </w:t>
      </w:r>
      <w:r w:rsidR="007C3A8C" w:rsidRPr="0065224E">
        <w:rPr>
          <w:rFonts w:asciiTheme="minorHAnsi" w:hAnsiTheme="minorHAnsi" w:cstheme="minorHAnsi"/>
          <w:sz w:val="24"/>
          <w:szCs w:val="24"/>
        </w:rPr>
        <w:t xml:space="preserve">rocznika aplikacji sędziowskiej odbywanych </w:t>
      </w:r>
      <w:r w:rsidR="0065224E" w:rsidRPr="0065224E">
        <w:rPr>
          <w:rFonts w:asciiTheme="minorHAnsi" w:hAnsiTheme="minorHAnsi" w:cstheme="minorHAnsi"/>
          <w:sz w:val="24"/>
          <w:szCs w:val="24"/>
        </w:rPr>
        <w:t>po</w:t>
      </w:r>
      <w:r w:rsidR="0065224E">
        <w:rPr>
          <w:rFonts w:asciiTheme="minorHAnsi" w:hAnsiTheme="minorHAnsi" w:cstheme="minorHAnsi"/>
          <w:sz w:val="24"/>
          <w:szCs w:val="24"/>
        </w:rPr>
        <w:t> </w:t>
      </w:r>
      <w:r w:rsidR="0065224E" w:rsidRPr="0065224E">
        <w:rPr>
          <w:rFonts w:asciiTheme="minorHAnsi" w:hAnsiTheme="minorHAnsi" w:cstheme="minorHAnsi"/>
          <w:sz w:val="24"/>
          <w:szCs w:val="24"/>
        </w:rPr>
        <w:t xml:space="preserve">28 zjeździe </w:t>
      </w:r>
      <w:r w:rsidR="007C3A8C" w:rsidRPr="0065224E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65224E" w:rsidRPr="0065224E">
        <w:rPr>
          <w:b/>
          <w:bCs/>
          <w:sz w:val="24"/>
          <w:szCs w:val="24"/>
        </w:rPr>
        <w:t>16.06.2025 r. – 27.06.2025 r</w:t>
      </w:r>
      <w:r w:rsidR="009A4EB5" w:rsidRPr="0065224E">
        <w:rPr>
          <w:rFonts w:asciiTheme="minorHAnsi" w:hAnsiTheme="minorHAnsi" w:cstheme="minorHAnsi"/>
          <w:sz w:val="24"/>
          <w:szCs w:val="24"/>
        </w:rPr>
        <w:t>.</w:t>
      </w:r>
      <w:r w:rsidR="0065224E" w:rsidRPr="0065224E">
        <w:rPr>
          <w:rFonts w:asciiTheme="minorHAnsi" w:hAnsiTheme="minorHAnsi" w:cstheme="minorHAnsi"/>
          <w:sz w:val="24"/>
          <w:szCs w:val="24"/>
        </w:rPr>
        <w:t xml:space="preserve"> </w:t>
      </w:r>
      <w:r w:rsidR="0065224E" w:rsidRPr="0065224E">
        <w:rPr>
          <w:rFonts w:asciiTheme="minorHAnsi" w:eastAsia="Times New Roman" w:hAnsiTheme="minorHAnsi" w:cstheme="minorHAnsi"/>
          <w:b/>
          <w:sz w:val="24"/>
          <w:szCs w:val="24"/>
        </w:rPr>
        <w:t>w sądzie okręgowym w wydziale gospodarczym.</w:t>
      </w:r>
    </w:p>
    <w:p w14:paraId="58A1E9E3" w14:textId="50626350" w:rsidR="007C3A8C" w:rsidRDefault="007C3A8C" w:rsidP="00D81A51">
      <w:pPr>
        <w:spacing w:after="120" w:line="33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hAnsiTheme="minorHAnsi" w:cstheme="minorHAnsi"/>
          <w:sz w:val="24"/>
          <w:szCs w:val="24"/>
        </w:rPr>
        <w:t>Założeniem praktyki, co do zasady, jest zaznajomienie aplikantów</w:t>
      </w:r>
      <w:r w:rsidR="004F3173" w:rsidRPr="001A6F9B">
        <w:rPr>
          <w:rFonts w:asciiTheme="minorHAnsi" w:hAnsiTheme="minorHAnsi" w:cstheme="minorHAnsi"/>
          <w:sz w:val="24"/>
          <w:szCs w:val="24"/>
        </w:rPr>
        <w:t xml:space="preserve"> z czynnościami i </w:t>
      </w:r>
      <w:r w:rsidRPr="001A6F9B">
        <w:rPr>
          <w:rFonts w:asciiTheme="minorHAnsi" w:hAnsiTheme="minorHAnsi" w:cstheme="minorHAnsi"/>
          <w:sz w:val="24"/>
          <w:szCs w:val="24"/>
        </w:rPr>
        <w:t xml:space="preserve">metodyką pracy sędziego oraz doskonalenie umiejętności wykorzystania wiedzy teoretycznej i znajomości orzecznictwa. Praktyka winna utrwalać wiedzę zdobytą podczas poprzedzających ją zajęć seminaryjnych w ramach zjazdu. </w:t>
      </w:r>
    </w:p>
    <w:p w14:paraId="40F3C138" w14:textId="77777777" w:rsidR="00691A3F" w:rsidRPr="00116CEA" w:rsidRDefault="00691A3F" w:rsidP="00D81A51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62485603" w14:textId="77777777" w:rsidR="00691A3F" w:rsidRPr="00116CEA" w:rsidRDefault="00691A3F" w:rsidP="00D81A51">
      <w:pPr>
        <w:spacing w:after="120" w:line="336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116CEA">
        <w:rPr>
          <w:rFonts w:eastAsia="Times New Roman" w:cstheme="minorHAnsi"/>
          <w:sz w:val="24"/>
          <w:szCs w:val="24"/>
        </w:rPr>
        <w:t xml:space="preserve">Patron praktyki powinien w pierwszej kolejności powierzać aplikantowi wykonanie czynności określonych </w:t>
      </w:r>
      <w:r w:rsidRPr="00116CEA">
        <w:rPr>
          <w:rFonts w:cstheme="minorHAnsi"/>
          <w:noProof/>
          <w:sz w:val="24"/>
          <w:szCs w:val="24"/>
        </w:rPr>
        <w:t xml:space="preserve">w zaleceniach dotyczących przebiegu praktyki po zjeździe (czynności obowiązkowe), </w:t>
      </w:r>
      <w:r w:rsidRPr="00116CEA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Pr="00116CEA">
        <w:rPr>
          <w:rFonts w:eastAsia="Times New Roman" w:cstheme="minorHAnsi"/>
          <w:sz w:val="24"/>
          <w:szCs w:val="24"/>
          <w:u w:val="single"/>
        </w:rPr>
        <w:t xml:space="preserve">kontrolować prawidłowość ich wykonania. </w:t>
      </w:r>
    </w:p>
    <w:p w14:paraId="0C1894AC" w14:textId="77777777" w:rsidR="00691A3F" w:rsidRPr="00116CEA" w:rsidRDefault="00691A3F" w:rsidP="00D81A51">
      <w:pPr>
        <w:spacing w:after="120" w:line="336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260C4D53" w14:textId="77777777" w:rsidR="00691A3F" w:rsidRPr="00116CEA" w:rsidRDefault="00691A3F" w:rsidP="00D81A51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Zaleca się angażowanie aplikanta w czynności, o których mowa w art. 45 § 3 </w:t>
      </w:r>
      <w:r w:rsidRPr="00116CEA">
        <w:rPr>
          <w:rFonts w:cstheme="minorHAnsi"/>
          <w:bCs/>
          <w:sz w:val="24"/>
          <w:szCs w:val="24"/>
        </w:rPr>
        <w:t>ustawy z dnia 27 lipca 2001 r. Prawo o ustroju sądów powszechnych.</w:t>
      </w:r>
    </w:p>
    <w:p w14:paraId="40FF1D87" w14:textId="77777777" w:rsidR="00691A3F" w:rsidRDefault="00691A3F" w:rsidP="00D81A51">
      <w:pPr>
        <w:spacing w:after="120" w:line="336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Uprzejmie proszę o zapoznanie się </w:t>
      </w:r>
      <w:r w:rsidRPr="00116CEA">
        <w:rPr>
          <w:rFonts w:eastAsia="Times New Roman" w:cstheme="minorHAnsi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116CEA">
        <w:rPr>
          <w:rFonts w:eastAsia="Times New Roman" w:cstheme="minorHAnsi"/>
          <w:sz w:val="24"/>
          <w:szCs w:val="24"/>
        </w:rPr>
        <w:t>j, które znajduje się na stronie internetowej Krajowej Szkoły Sądownictwa i Prokuratury pod adresem</w:t>
      </w:r>
      <w:r w:rsidRPr="00116CEA">
        <w:rPr>
          <w:rFonts w:cstheme="minorHAnsi"/>
          <w:sz w:val="24"/>
          <w:szCs w:val="24"/>
        </w:rPr>
        <w:t xml:space="preserve"> </w:t>
      </w:r>
      <w:hyperlink r:id="rId8" w:history="1">
        <w:r w:rsidRPr="00116CEA">
          <w:rPr>
            <w:rStyle w:val="Hipercze"/>
            <w:rFonts w:eastAsia="Times New Roman" w:cstheme="minorHAnsi"/>
            <w:sz w:val="24"/>
            <w:szCs w:val="24"/>
          </w:rPr>
          <w:t>https://www.kssip.gov.pl/node/7958.</w:t>
        </w:r>
      </w:hyperlink>
      <w:r w:rsidRPr="00116CEA">
        <w:rPr>
          <w:rFonts w:eastAsia="Times New Roman" w:cstheme="minorHAnsi"/>
          <w:sz w:val="24"/>
          <w:szCs w:val="24"/>
        </w:rPr>
        <w:tab/>
      </w:r>
    </w:p>
    <w:p w14:paraId="3E41E49E" w14:textId="49928EF7" w:rsidR="001E1E79" w:rsidRPr="00691A3F" w:rsidRDefault="00691A3F" w:rsidP="00D81A51">
      <w:pPr>
        <w:spacing w:after="120" w:line="33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1A3F">
        <w:rPr>
          <w:rFonts w:asciiTheme="minorHAnsi" w:hAnsiTheme="minorHAnsi" w:cstheme="minorHAnsi"/>
          <w:b/>
          <w:sz w:val="24"/>
          <w:szCs w:val="24"/>
        </w:rPr>
        <w:lastRenderedPageBreak/>
        <w:t>Przedmiotem</w:t>
      </w:r>
      <w:r w:rsidR="00374436" w:rsidRPr="00691A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3DD8" w:rsidRPr="00691A3F">
        <w:rPr>
          <w:rFonts w:asciiTheme="minorHAnsi" w:hAnsiTheme="minorHAnsi" w:cstheme="minorHAnsi"/>
          <w:b/>
          <w:sz w:val="24"/>
          <w:szCs w:val="24"/>
        </w:rPr>
        <w:t>2</w:t>
      </w:r>
      <w:r w:rsidRPr="00691A3F">
        <w:rPr>
          <w:rFonts w:asciiTheme="minorHAnsi" w:hAnsiTheme="minorHAnsi" w:cstheme="minorHAnsi"/>
          <w:b/>
          <w:sz w:val="24"/>
          <w:szCs w:val="24"/>
        </w:rPr>
        <w:t>8</w:t>
      </w:r>
      <w:r w:rsidR="007C3A8C" w:rsidRPr="00691A3F">
        <w:rPr>
          <w:rFonts w:asciiTheme="minorHAnsi" w:hAnsiTheme="minorHAnsi" w:cstheme="minorHAnsi"/>
          <w:b/>
          <w:sz w:val="24"/>
          <w:szCs w:val="24"/>
        </w:rPr>
        <w:t xml:space="preserve"> zjazdu </w:t>
      </w:r>
      <w:r w:rsidR="001E1E79" w:rsidRPr="00691A3F">
        <w:rPr>
          <w:rFonts w:asciiTheme="minorHAnsi" w:hAnsiTheme="minorHAnsi" w:cstheme="minorHAnsi"/>
          <w:b/>
          <w:sz w:val="24"/>
          <w:szCs w:val="24"/>
        </w:rPr>
        <w:t>są</w:t>
      </w:r>
      <w:r w:rsidR="00D84572" w:rsidRPr="00691A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1E79" w:rsidRPr="00691A3F">
        <w:rPr>
          <w:rFonts w:asciiTheme="minorHAnsi" w:hAnsiTheme="minorHAnsi" w:cstheme="minorHAnsi"/>
          <w:b/>
          <w:sz w:val="24"/>
          <w:szCs w:val="24"/>
        </w:rPr>
        <w:t>zagadnienia dotyczące spółek prawa handlowego i</w:t>
      </w:r>
      <w:r w:rsidR="00945FF7">
        <w:rPr>
          <w:rFonts w:asciiTheme="minorHAnsi" w:hAnsiTheme="minorHAnsi" w:cstheme="minorHAnsi"/>
          <w:b/>
          <w:sz w:val="24"/>
          <w:szCs w:val="24"/>
        </w:rPr>
        <w:t> </w:t>
      </w:r>
      <w:r w:rsidR="001E1E79" w:rsidRPr="00691A3F">
        <w:rPr>
          <w:rFonts w:asciiTheme="minorHAnsi" w:hAnsiTheme="minorHAnsi" w:cstheme="minorHAnsi"/>
          <w:b/>
          <w:sz w:val="24"/>
          <w:szCs w:val="24"/>
        </w:rPr>
        <w:t xml:space="preserve">rejestrów. </w:t>
      </w:r>
    </w:p>
    <w:p w14:paraId="2FE4A49F" w14:textId="6E5B6790" w:rsidR="00691A3F" w:rsidRPr="00116CEA" w:rsidRDefault="00691A3F" w:rsidP="00D81A51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W zakresie </w:t>
      </w:r>
      <w:r w:rsidRPr="00116CEA">
        <w:rPr>
          <w:rFonts w:cstheme="minorHAnsi"/>
          <w:b/>
          <w:sz w:val="24"/>
          <w:szCs w:val="24"/>
        </w:rPr>
        <w:t>prawa materialnego</w:t>
      </w:r>
      <w:r w:rsidRPr="00116CEA">
        <w:rPr>
          <w:rFonts w:cstheme="minorHAnsi"/>
          <w:sz w:val="24"/>
          <w:szCs w:val="24"/>
        </w:rPr>
        <w:t xml:space="preserve"> </w:t>
      </w:r>
      <w:bookmarkStart w:id="1" w:name="_Hlk196735954"/>
      <w:r w:rsidRPr="00116CEA">
        <w:rPr>
          <w:rFonts w:cstheme="minorHAnsi"/>
          <w:sz w:val="24"/>
          <w:szCs w:val="24"/>
        </w:rPr>
        <w:t>należy poświęcić szczególną uwagę zagadnieniem, które obejmują:</w:t>
      </w:r>
    </w:p>
    <w:bookmarkEnd w:id="1"/>
    <w:p w14:paraId="7A124EC8" w14:textId="5CF18D3D" w:rsidR="006253AB" w:rsidRPr="001A6F9B" w:rsidRDefault="006253AB" w:rsidP="00D81A51">
      <w:pPr>
        <w:pStyle w:val="Akapitzlist"/>
        <w:numPr>
          <w:ilvl w:val="0"/>
          <w:numId w:val="1"/>
        </w:numPr>
        <w:spacing w:after="0" w:line="336" w:lineRule="auto"/>
        <w:ind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handlow</w:t>
      </w:r>
      <w:r w:rsidR="004E6D13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e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spółk</w:t>
      </w:r>
      <w:r w:rsidR="004E6D13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i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osobow</w:t>
      </w:r>
      <w:r w:rsidR="004E6D13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e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, w tym w szczególności</w:t>
      </w:r>
      <w:r w:rsidR="004E6D13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:</w:t>
      </w:r>
    </w:p>
    <w:p w14:paraId="2B653C21" w14:textId="12E757BC" w:rsidR="006253AB" w:rsidRPr="001A6F9B" w:rsidRDefault="006253AB" w:rsidP="00D81A51">
      <w:pPr>
        <w:pStyle w:val="Akapitzlist"/>
        <w:numPr>
          <w:ilvl w:val="1"/>
          <w:numId w:val="1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reprezentacj</w:t>
      </w:r>
      <w:r w:rsidR="00C33D40">
        <w:rPr>
          <w:rFonts w:asciiTheme="minorHAnsi" w:eastAsia="Andale Sans UI" w:hAnsiTheme="minorHAnsi" w:cstheme="minorHAnsi"/>
          <w:kern w:val="3"/>
          <w:sz w:val="24"/>
          <w:szCs w:val="24"/>
        </w:rPr>
        <w:t>ę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spółki;</w:t>
      </w:r>
    </w:p>
    <w:p w14:paraId="65C08000" w14:textId="77777777" w:rsidR="006253AB" w:rsidRPr="001A6F9B" w:rsidRDefault="006253AB" w:rsidP="00D81A51">
      <w:pPr>
        <w:pStyle w:val="Akapitzlist"/>
        <w:numPr>
          <w:ilvl w:val="1"/>
          <w:numId w:val="1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odpowiedzialność za zobowiązania spółki; </w:t>
      </w:r>
    </w:p>
    <w:p w14:paraId="24FB5AD1" w14:textId="428763F3" w:rsidR="006253AB" w:rsidRPr="001A6F9B" w:rsidRDefault="006253AB" w:rsidP="00D81A51">
      <w:pPr>
        <w:pStyle w:val="Akapitzlist"/>
        <w:numPr>
          <w:ilvl w:val="0"/>
          <w:numId w:val="1"/>
        </w:numPr>
        <w:spacing w:after="0" w:line="336" w:lineRule="auto"/>
        <w:ind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spółk</w:t>
      </w:r>
      <w:r w:rsidR="004E6D13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i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kapitałow</w:t>
      </w:r>
      <w:r w:rsidR="004E6D13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e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, w tym w szczególności:</w:t>
      </w:r>
    </w:p>
    <w:p w14:paraId="59D7BD18" w14:textId="16EA64DF" w:rsidR="006253AB" w:rsidRPr="001A6F9B" w:rsidRDefault="006253AB" w:rsidP="00D81A51">
      <w:pPr>
        <w:pStyle w:val="Akapitzlist"/>
        <w:numPr>
          <w:ilvl w:val="1"/>
          <w:numId w:val="1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reprezentacj</w:t>
      </w:r>
      <w:r w:rsidR="00C33D40">
        <w:rPr>
          <w:rFonts w:asciiTheme="minorHAnsi" w:eastAsia="Andale Sans UI" w:hAnsiTheme="minorHAnsi" w:cstheme="minorHAnsi"/>
          <w:kern w:val="3"/>
          <w:sz w:val="24"/>
          <w:szCs w:val="24"/>
        </w:rPr>
        <w:t>ę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spółki przy zawieraniu umowy między spółką a członkiem zarządu oraz w sporze między spółką a członkiem zarządu;</w:t>
      </w:r>
    </w:p>
    <w:p w14:paraId="447E3243" w14:textId="799B524B" w:rsidR="006253AB" w:rsidRPr="001A6F9B" w:rsidRDefault="006253AB" w:rsidP="00D81A51">
      <w:pPr>
        <w:pStyle w:val="Akapitzlist"/>
        <w:numPr>
          <w:ilvl w:val="1"/>
          <w:numId w:val="1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reprezentacj</w:t>
      </w:r>
      <w:r w:rsidR="00C33D40">
        <w:rPr>
          <w:rFonts w:asciiTheme="minorHAnsi" w:eastAsia="Andale Sans UI" w:hAnsiTheme="minorHAnsi" w:cstheme="minorHAnsi"/>
          <w:kern w:val="3"/>
          <w:sz w:val="24"/>
          <w:szCs w:val="24"/>
        </w:rPr>
        <w:t>ę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spółki w sporze dotyczącym uchylenia lub stwierdzenia nieważności uchwały wspólników lub walnego zgromadzenia akcjonariuszy;</w:t>
      </w:r>
    </w:p>
    <w:p w14:paraId="17391806" w14:textId="77777777" w:rsidR="006253AB" w:rsidRPr="001A6F9B" w:rsidRDefault="006253AB" w:rsidP="00D81A51">
      <w:pPr>
        <w:pStyle w:val="Akapitzlist"/>
        <w:numPr>
          <w:ilvl w:val="0"/>
          <w:numId w:val="1"/>
        </w:numPr>
        <w:spacing w:after="0" w:line="336" w:lineRule="auto"/>
        <w:ind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podejmowanie uchwał w przedmiocie wyrażenia zgody na dokonanie przez spółkę czynności prawnej oraz wpływ uchybień w tym zakresie na ważność tej czynności;</w:t>
      </w:r>
    </w:p>
    <w:p w14:paraId="045B6AD6" w14:textId="77777777" w:rsidR="006253AB" w:rsidRPr="001A6F9B" w:rsidRDefault="006253AB" w:rsidP="00D81A51">
      <w:pPr>
        <w:pStyle w:val="Akapitzlist"/>
        <w:numPr>
          <w:ilvl w:val="0"/>
          <w:numId w:val="1"/>
        </w:numPr>
        <w:spacing w:after="0" w:line="336" w:lineRule="auto"/>
        <w:ind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podwyższenie lub obniżenie kapitału zakładowego;</w:t>
      </w:r>
    </w:p>
    <w:p w14:paraId="1D93AD0C" w14:textId="608BB7B1" w:rsidR="006253AB" w:rsidRPr="001A6F9B" w:rsidRDefault="006253AB" w:rsidP="00D81A51">
      <w:pPr>
        <w:pStyle w:val="Akapitzlist"/>
        <w:numPr>
          <w:ilvl w:val="0"/>
          <w:numId w:val="1"/>
        </w:numPr>
        <w:spacing w:after="0" w:line="336" w:lineRule="auto"/>
        <w:ind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rozwiązanie i likwidacj</w:t>
      </w:r>
      <w:r w:rsidR="00C33D40">
        <w:rPr>
          <w:rFonts w:asciiTheme="minorHAnsi" w:eastAsia="Andale Sans UI" w:hAnsiTheme="minorHAnsi" w:cstheme="minorHAnsi"/>
          <w:kern w:val="3"/>
          <w:sz w:val="24"/>
          <w:szCs w:val="24"/>
        </w:rPr>
        <w:t>ę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spółki;</w:t>
      </w:r>
    </w:p>
    <w:p w14:paraId="45625803" w14:textId="698EEA4B" w:rsidR="006253AB" w:rsidRPr="001A6F9B" w:rsidRDefault="006253AB" w:rsidP="00D81A51">
      <w:pPr>
        <w:pStyle w:val="Akapitzlist"/>
        <w:numPr>
          <w:ilvl w:val="0"/>
          <w:numId w:val="1"/>
        </w:numPr>
        <w:spacing w:after="0" w:line="336" w:lineRule="auto"/>
        <w:ind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odpowiedzialność członków zarządu spółek kapitałowych oraz ich likwidatorów za zobowiązania spółki, ze zwróceniem uwagi na wyłączenie drogi sądowej w sprawie odpowiedzialności za zobowiązania publicznoprawne;</w:t>
      </w:r>
    </w:p>
    <w:p w14:paraId="2445BE1A" w14:textId="50E03E0C" w:rsidR="006253AB" w:rsidRPr="001A6F9B" w:rsidRDefault="006253AB" w:rsidP="00D81A51">
      <w:pPr>
        <w:pStyle w:val="Akapitzlist"/>
        <w:numPr>
          <w:ilvl w:val="0"/>
          <w:numId w:val="1"/>
        </w:numPr>
        <w:spacing w:after="0" w:line="336" w:lineRule="auto"/>
        <w:ind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odpowiedzialność odszkodowawcz</w:t>
      </w:r>
      <w:r w:rsidR="00C33D40">
        <w:rPr>
          <w:rFonts w:asciiTheme="minorHAnsi" w:eastAsia="Andale Sans UI" w:hAnsiTheme="minorHAnsi" w:cstheme="minorHAnsi"/>
          <w:kern w:val="3"/>
          <w:sz w:val="24"/>
          <w:szCs w:val="24"/>
        </w:rPr>
        <w:t>ą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członków organów spółki oraz likwidatorów wobec spółki;</w:t>
      </w:r>
    </w:p>
    <w:p w14:paraId="229AB58D" w14:textId="77777777" w:rsidR="006253AB" w:rsidRPr="001A6F9B" w:rsidRDefault="006253AB" w:rsidP="00D81A51">
      <w:pPr>
        <w:pStyle w:val="Akapitzlist"/>
        <w:numPr>
          <w:ilvl w:val="0"/>
          <w:numId w:val="1"/>
        </w:numPr>
        <w:spacing w:after="120" w:line="336" w:lineRule="auto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inne istotne zagadnienia materialnoprawne dotyczące spółek prawa handlowego, zwłaszcza będące często przedmiotem sporu w sprawach o uchylenie lub stwierdzenie nieważności uchwał organów spółek (zgromadzenia wspólników, walnego zgromadzenia akcjonariuszy, zarządu, rady nadzorczej).</w:t>
      </w:r>
    </w:p>
    <w:p w14:paraId="2433AE5A" w14:textId="77777777" w:rsidR="006253AB" w:rsidRPr="001A6F9B" w:rsidRDefault="006253AB" w:rsidP="00D81A51">
      <w:pPr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hAnsiTheme="minorHAnsi" w:cstheme="minorHAnsi"/>
          <w:sz w:val="24"/>
          <w:szCs w:val="24"/>
        </w:rPr>
        <w:t xml:space="preserve">Nadto patron praktyki oraz patron koordynator powinni zapewnić, aby w toku praktyki aplikanci zapoznali się z następującymi zagadnieniami z zakresu </w:t>
      </w:r>
      <w:r w:rsidRPr="001A6F9B">
        <w:rPr>
          <w:rFonts w:asciiTheme="minorHAnsi" w:hAnsiTheme="minorHAnsi" w:cstheme="minorHAnsi"/>
          <w:b/>
          <w:sz w:val="24"/>
          <w:szCs w:val="24"/>
          <w:u w:val="single"/>
        </w:rPr>
        <w:t>prawa procesowego</w:t>
      </w:r>
      <w:r w:rsidRPr="001A6F9B">
        <w:rPr>
          <w:rFonts w:asciiTheme="minorHAnsi" w:hAnsiTheme="minorHAnsi" w:cstheme="minorHAnsi"/>
          <w:sz w:val="24"/>
          <w:szCs w:val="24"/>
        </w:rPr>
        <w:t>:</w:t>
      </w:r>
    </w:p>
    <w:p w14:paraId="6DB47B26" w14:textId="7CED4F53" w:rsidR="006253AB" w:rsidRPr="001A6F9B" w:rsidRDefault="006253AB" w:rsidP="00D81A51">
      <w:pPr>
        <w:pStyle w:val="Akapitzlist"/>
        <w:numPr>
          <w:ilvl w:val="0"/>
          <w:numId w:val="26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powództwo o uchylenie uchwały a powództwo o stwierdzenie nieważności uchwały</w:t>
      </w:r>
      <w:r w:rsidR="0009535A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, w 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tym w szczególności: </w:t>
      </w:r>
    </w:p>
    <w:p w14:paraId="3FE55372" w14:textId="77777777" w:rsidR="006253AB" w:rsidRPr="001A6F9B" w:rsidRDefault="006253AB" w:rsidP="00D81A51">
      <w:pPr>
        <w:pStyle w:val="Akapitzlist"/>
        <w:numPr>
          <w:ilvl w:val="1"/>
          <w:numId w:val="44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rozróżnienie przesłanek ww. powództw, </w:t>
      </w:r>
    </w:p>
    <w:p w14:paraId="5BBF12F4" w14:textId="77777777" w:rsidR="006253AB" w:rsidRPr="001A6F9B" w:rsidRDefault="006253AB" w:rsidP="00D81A51">
      <w:pPr>
        <w:pStyle w:val="Akapitzlist"/>
        <w:numPr>
          <w:ilvl w:val="1"/>
          <w:numId w:val="44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legitymacja czynna, </w:t>
      </w:r>
    </w:p>
    <w:p w14:paraId="4C4712FA" w14:textId="77777777" w:rsidR="006253AB" w:rsidRPr="001A6F9B" w:rsidRDefault="006253AB" w:rsidP="00D81A51">
      <w:pPr>
        <w:pStyle w:val="Akapitzlist"/>
        <w:numPr>
          <w:ilvl w:val="1"/>
          <w:numId w:val="44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termin do wytoczenia powództwa,</w:t>
      </w:r>
    </w:p>
    <w:p w14:paraId="5DAFCFB8" w14:textId="77777777" w:rsidR="006253AB" w:rsidRPr="001A6F9B" w:rsidRDefault="006253AB" w:rsidP="00D81A51">
      <w:pPr>
        <w:pStyle w:val="Akapitzlist"/>
        <w:numPr>
          <w:ilvl w:val="1"/>
          <w:numId w:val="44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lastRenderedPageBreak/>
        <w:t>możliwość zmiany żądania (z żądania stwierdzenia nieważności uchwały na uchylenie uchwały i odwrotnie),</w:t>
      </w:r>
    </w:p>
    <w:p w14:paraId="3CC0A9F3" w14:textId="77777777" w:rsidR="006253AB" w:rsidRPr="001A6F9B" w:rsidRDefault="006253AB" w:rsidP="00D81A51">
      <w:pPr>
        <w:pStyle w:val="Akapitzlist"/>
        <w:numPr>
          <w:ilvl w:val="1"/>
          <w:numId w:val="44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charakter (deklaratoryjny/konstytutywny) i skutek wyroku uwzględniającego powództwo;</w:t>
      </w:r>
    </w:p>
    <w:p w14:paraId="46449C87" w14:textId="77777777" w:rsidR="006253AB" w:rsidRPr="001A6F9B" w:rsidRDefault="006253AB" w:rsidP="00D81A51">
      <w:pPr>
        <w:pStyle w:val="Akapitzlist"/>
        <w:numPr>
          <w:ilvl w:val="0"/>
          <w:numId w:val="26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zabezpieczenie roszczenia w sprawach, o których mowa w pkt 1;</w:t>
      </w:r>
    </w:p>
    <w:p w14:paraId="5135CB4C" w14:textId="08A8C5BE" w:rsidR="006253AB" w:rsidRPr="001A6F9B" w:rsidRDefault="006253AB" w:rsidP="00D81A51">
      <w:pPr>
        <w:pStyle w:val="Akapitzlist"/>
        <w:numPr>
          <w:ilvl w:val="0"/>
          <w:numId w:val="26"/>
        </w:numPr>
        <w:spacing w:after="0" w:line="33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legitymacja czynna i bierna w sprawie o wyłączenie wspólnika spółki z o.o.;</w:t>
      </w:r>
    </w:p>
    <w:p w14:paraId="17C4FDCD" w14:textId="0C9772C8" w:rsidR="006253AB" w:rsidRPr="001A6F9B" w:rsidRDefault="006253AB" w:rsidP="00D81A51">
      <w:pPr>
        <w:pStyle w:val="Akapitzlist"/>
        <w:numPr>
          <w:ilvl w:val="0"/>
          <w:numId w:val="26"/>
        </w:numPr>
        <w:spacing w:after="0" w:line="33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hAnsiTheme="minorHAnsi" w:cstheme="minorHAnsi"/>
          <w:sz w:val="24"/>
          <w:szCs w:val="24"/>
        </w:rPr>
        <w:t>legitymacja czynna i bierna w sprawach o rozwiązanie spółki osobowej lub wyłączenie wspólnika;</w:t>
      </w:r>
    </w:p>
    <w:p w14:paraId="7B49571E" w14:textId="77777777" w:rsidR="006253AB" w:rsidRPr="001A6F9B" w:rsidRDefault="006253AB" w:rsidP="00D81A51">
      <w:pPr>
        <w:pStyle w:val="Akapitzlist"/>
        <w:numPr>
          <w:ilvl w:val="0"/>
          <w:numId w:val="26"/>
        </w:numPr>
        <w:spacing w:after="0" w:line="33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hAnsiTheme="minorHAnsi" w:cstheme="minorHAnsi"/>
          <w:sz w:val="24"/>
          <w:szCs w:val="24"/>
        </w:rPr>
        <w:t>postępowanie w sprawach dotyczących odpowiedzialności wspólników spółek osobowych za zobowiązania spółki, w tym postępowanie klauzulowe;</w:t>
      </w:r>
    </w:p>
    <w:p w14:paraId="47A01C33" w14:textId="3F571713" w:rsidR="006253AB" w:rsidRPr="001A6F9B" w:rsidRDefault="006253AB" w:rsidP="00D81A51">
      <w:pPr>
        <w:pStyle w:val="Akapitzlist"/>
        <w:numPr>
          <w:ilvl w:val="0"/>
          <w:numId w:val="26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postępowanie w sprawach dotyczących odpowiedzialności</w:t>
      </w:r>
      <w:r w:rsidR="0009535A"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członków zarządu spółki z 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ograniczoną odpowiedzialnością oraz jej likwidatorów za zobowiązania spółki, w tym w</w:t>
      </w:r>
      <w:r w:rsidR="00D81A51">
        <w:rPr>
          <w:rFonts w:asciiTheme="minorHAnsi" w:eastAsia="Andale Sans UI" w:hAnsiTheme="minorHAnsi" w:cstheme="minorHAnsi"/>
          <w:kern w:val="3"/>
          <w:sz w:val="24"/>
          <w:szCs w:val="24"/>
        </w:rPr>
        <w:t> </w:t>
      </w: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szczególności:</w:t>
      </w:r>
    </w:p>
    <w:p w14:paraId="6466A592" w14:textId="77777777" w:rsidR="006253AB" w:rsidRPr="001A6F9B" w:rsidRDefault="006253AB" w:rsidP="00D81A51">
      <w:pPr>
        <w:pStyle w:val="Akapitzlist"/>
        <w:numPr>
          <w:ilvl w:val="1"/>
          <w:numId w:val="45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postępowanie na podstawie art. 299 § 1 k.s.h.,</w:t>
      </w:r>
    </w:p>
    <w:p w14:paraId="50EAB219" w14:textId="77777777" w:rsidR="006253AB" w:rsidRPr="001A6F9B" w:rsidRDefault="006253AB" w:rsidP="00D81A51">
      <w:pPr>
        <w:pStyle w:val="Akapitzlist"/>
        <w:numPr>
          <w:ilvl w:val="1"/>
          <w:numId w:val="45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postępowanie na podstawie art. 21 ust. 3 ustawy Prawo upadłościowe,</w:t>
      </w:r>
    </w:p>
    <w:p w14:paraId="56BF3DAD" w14:textId="77777777" w:rsidR="006253AB" w:rsidRPr="001A6F9B" w:rsidRDefault="006253AB" w:rsidP="00D81A51">
      <w:pPr>
        <w:pStyle w:val="Akapitzlist"/>
        <w:numPr>
          <w:ilvl w:val="1"/>
          <w:numId w:val="45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legitymacja bierna w wymienionych sprawach,</w:t>
      </w:r>
    </w:p>
    <w:p w14:paraId="01ADF277" w14:textId="77777777" w:rsidR="006253AB" w:rsidRPr="001A6F9B" w:rsidRDefault="006253AB" w:rsidP="00D81A51">
      <w:pPr>
        <w:pStyle w:val="Akapitzlist"/>
        <w:numPr>
          <w:ilvl w:val="1"/>
          <w:numId w:val="45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rozkład ciężaru dowodu,</w:t>
      </w:r>
    </w:p>
    <w:p w14:paraId="093B5FD4" w14:textId="77777777" w:rsidR="006253AB" w:rsidRPr="001A6F9B" w:rsidRDefault="006253AB" w:rsidP="00D81A51">
      <w:pPr>
        <w:pStyle w:val="Akapitzlist"/>
        <w:numPr>
          <w:ilvl w:val="1"/>
          <w:numId w:val="45"/>
        </w:numPr>
        <w:spacing w:after="0" w:line="336" w:lineRule="auto"/>
        <w:ind w:left="714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środki dowodowe w celu wykazania przesłanek z art. 299 § 1 i 2 k.s.h.;</w:t>
      </w:r>
    </w:p>
    <w:p w14:paraId="45D7FC05" w14:textId="77777777" w:rsidR="006253AB" w:rsidRPr="001A6F9B" w:rsidRDefault="006253AB" w:rsidP="00D81A51">
      <w:pPr>
        <w:pStyle w:val="Akapitzlist"/>
        <w:numPr>
          <w:ilvl w:val="0"/>
          <w:numId w:val="26"/>
        </w:numPr>
        <w:spacing w:after="12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A6F9B">
        <w:rPr>
          <w:rFonts w:asciiTheme="minorHAnsi" w:eastAsia="Andale Sans UI" w:hAnsiTheme="minorHAnsi" w:cstheme="minorHAnsi"/>
          <w:kern w:val="3"/>
          <w:sz w:val="24"/>
          <w:szCs w:val="24"/>
        </w:rPr>
        <w:t>legitymacja czynna i bierna w sprawach dotyczących odpowiedzialności odszkodowawczej członków organów spółki i likwidatorów.</w:t>
      </w:r>
    </w:p>
    <w:p w14:paraId="09EC188A" w14:textId="270E00DA" w:rsidR="006253AB" w:rsidRPr="001A6F9B" w:rsidRDefault="006253AB" w:rsidP="00D81A51">
      <w:pPr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hAnsiTheme="minorHAnsi" w:cstheme="minorHAnsi"/>
          <w:sz w:val="24"/>
          <w:szCs w:val="24"/>
        </w:rPr>
        <w:t xml:space="preserve">Szczególną uwagę należy poświęcić zagadnieniom dotyczącym metodyki prowadzenia postępowania w sprawach dotyczących spółek handlowych, a zwłaszcza co do dalszego biegu postępowania w przypadku wystąpienia przeszkód procesowych związanych z ich reprezentacją. Nadto celowym jest, aby aplikanci zapoznali się z zagadnieniami dotyczącymi </w:t>
      </w:r>
      <w:r w:rsidRPr="001A6F9B">
        <w:rPr>
          <w:rFonts w:asciiTheme="minorHAnsi" w:hAnsiTheme="minorHAnsi" w:cstheme="minorHAnsi"/>
          <w:b/>
          <w:sz w:val="24"/>
          <w:szCs w:val="24"/>
        </w:rPr>
        <w:t>sposobu prowadzenia postępowania dowodowego w sprawach dotyczących odpowiedzialności cywilnoprawnej uregulowanej w k.s.h.</w:t>
      </w:r>
      <w:r w:rsidRPr="001A6F9B">
        <w:rPr>
          <w:rFonts w:asciiTheme="minorHAnsi" w:hAnsiTheme="minorHAnsi" w:cstheme="minorHAnsi"/>
          <w:sz w:val="24"/>
          <w:szCs w:val="24"/>
        </w:rPr>
        <w:t>, zwłaszcza związanymi z wyborem odpowiedniej specjalności biegłego oraz prawidłowym formułowaniem tezy postanowienia o</w:t>
      </w:r>
      <w:r w:rsidR="00C33D40">
        <w:rPr>
          <w:rFonts w:asciiTheme="minorHAnsi" w:hAnsiTheme="minorHAnsi" w:cstheme="minorHAnsi"/>
          <w:sz w:val="24"/>
          <w:szCs w:val="24"/>
        </w:rPr>
        <w:t> </w:t>
      </w:r>
      <w:r w:rsidRPr="001A6F9B">
        <w:rPr>
          <w:rFonts w:asciiTheme="minorHAnsi" w:hAnsiTheme="minorHAnsi" w:cstheme="minorHAnsi"/>
          <w:sz w:val="24"/>
          <w:szCs w:val="24"/>
        </w:rPr>
        <w:t xml:space="preserve">dopuszczeniu </w:t>
      </w:r>
      <w:r w:rsidRPr="001A6F9B">
        <w:rPr>
          <w:rFonts w:asciiTheme="minorHAnsi" w:hAnsiTheme="minorHAnsi" w:cstheme="minorHAnsi"/>
          <w:b/>
          <w:sz w:val="24"/>
          <w:szCs w:val="24"/>
        </w:rPr>
        <w:t>dowodu z opinii biegłego</w:t>
      </w:r>
      <w:r w:rsidRPr="001A6F9B">
        <w:rPr>
          <w:rFonts w:asciiTheme="minorHAnsi" w:hAnsiTheme="minorHAnsi" w:cstheme="minorHAnsi"/>
          <w:sz w:val="24"/>
          <w:szCs w:val="24"/>
        </w:rPr>
        <w:t xml:space="preserve"> w sprawach dotyczących roszczeń uregulowanych w wyżej wymienionych przepisach. </w:t>
      </w:r>
    </w:p>
    <w:p w14:paraId="2CCD2F58" w14:textId="77777777" w:rsidR="009A4036" w:rsidRPr="001A6F9B" w:rsidRDefault="009A4036" w:rsidP="00D81A51">
      <w:pPr>
        <w:spacing w:after="120" w:line="336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6F9B">
        <w:rPr>
          <w:rFonts w:asciiTheme="minorHAnsi" w:hAnsiTheme="minorHAnsi" w:cstheme="minorHAnsi"/>
          <w:b/>
          <w:sz w:val="24"/>
          <w:szCs w:val="24"/>
          <w:u w:val="single"/>
        </w:rPr>
        <w:t>Czynności, które powinny zostać zlecone aplikantowi w trakcie praktyki (czynności obowiązkowe)</w:t>
      </w:r>
    </w:p>
    <w:p w14:paraId="27426197" w14:textId="72ED377B" w:rsidR="00EE37D2" w:rsidRPr="001A6F9B" w:rsidRDefault="00D81A51" w:rsidP="00D81A51">
      <w:pPr>
        <w:pStyle w:val="Akapitzlist"/>
        <w:numPr>
          <w:ilvl w:val="2"/>
          <w:numId w:val="45"/>
        </w:numPr>
        <w:spacing w:after="0" w:line="336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97687881"/>
      <w:r>
        <w:rPr>
          <w:rFonts w:asciiTheme="minorHAnsi" w:hAnsiTheme="minorHAnsi" w:cstheme="minorHAnsi"/>
          <w:sz w:val="24"/>
          <w:szCs w:val="24"/>
        </w:rPr>
        <w:t xml:space="preserve">sporządzenie </w:t>
      </w:r>
      <w:r w:rsidRPr="001F219D">
        <w:rPr>
          <w:rFonts w:asciiTheme="minorHAnsi" w:hAnsiTheme="minorHAnsi" w:cstheme="minorHAnsi"/>
          <w:sz w:val="24"/>
          <w:szCs w:val="24"/>
        </w:rPr>
        <w:t>co najmniej 1 projekt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="00EE37D2" w:rsidRPr="001F219D">
        <w:rPr>
          <w:rFonts w:asciiTheme="minorHAnsi" w:hAnsiTheme="minorHAnsi" w:cstheme="minorHAnsi"/>
          <w:sz w:val="24"/>
          <w:szCs w:val="24"/>
        </w:rPr>
        <w:t>orzeczenia końcowego wraz z</w:t>
      </w:r>
      <w:r w:rsidR="001F219D">
        <w:rPr>
          <w:rFonts w:asciiTheme="minorHAnsi" w:hAnsiTheme="minorHAnsi" w:cstheme="minorHAnsi"/>
          <w:sz w:val="24"/>
          <w:szCs w:val="24"/>
        </w:rPr>
        <w:t xml:space="preserve"> </w:t>
      </w:r>
      <w:r w:rsidR="00EE37D2" w:rsidRPr="001F219D">
        <w:rPr>
          <w:rFonts w:asciiTheme="minorHAnsi" w:hAnsiTheme="minorHAnsi" w:cstheme="minorHAnsi"/>
          <w:sz w:val="24"/>
          <w:szCs w:val="24"/>
        </w:rPr>
        <w:t>uzasadnieniem i</w:t>
      </w:r>
      <w:r>
        <w:rPr>
          <w:rFonts w:asciiTheme="minorHAnsi" w:hAnsiTheme="minorHAnsi" w:cstheme="minorHAnsi"/>
          <w:sz w:val="24"/>
          <w:szCs w:val="24"/>
        </w:rPr>
        <w:t> </w:t>
      </w:r>
      <w:r w:rsidR="00EE37D2" w:rsidRPr="001F219D">
        <w:rPr>
          <w:rFonts w:asciiTheme="minorHAnsi" w:hAnsiTheme="minorHAnsi" w:cstheme="minorHAnsi"/>
          <w:sz w:val="24"/>
          <w:szCs w:val="24"/>
        </w:rPr>
        <w:t xml:space="preserve">zarządzeniami </w:t>
      </w:r>
      <w:r>
        <w:rPr>
          <w:rFonts w:asciiTheme="minorHAnsi" w:hAnsiTheme="minorHAnsi" w:cstheme="minorHAnsi"/>
          <w:sz w:val="24"/>
          <w:szCs w:val="24"/>
        </w:rPr>
        <w:t>w sprawie</w:t>
      </w:r>
      <w:r w:rsidR="00EE37D2" w:rsidRPr="001A6F9B">
        <w:rPr>
          <w:rFonts w:asciiTheme="minorHAnsi" w:hAnsiTheme="minorHAnsi" w:cstheme="minorHAnsi"/>
          <w:sz w:val="24"/>
          <w:szCs w:val="24"/>
        </w:rPr>
        <w:t>:</w:t>
      </w:r>
    </w:p>
    <w:bookmarkEnd w:id="2"/>
    <w:p w14:paraId="11275EEB" w14:textId="6C248001" w:rsidR="00EE37D2" w:rsidRPr="00D81A51" w:rsidRDefault="00EE37D2" w:rsidP="002E3216">
      <w:pPr>
        <w:pStyle w:val="Akapitzlist"/>
        <w:numPr>
          <w:ilvl w:val="3"/>
          <w:numId w:val="49"/>
        </w:numPr>
        <w:spacing w:after="0" w:line="336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81A51">
        <w:rPr>
          <w:rFonts w:asciiTheme="minorHAnsi" w:eastAsia="Times New Roman" w:hAnsiTheme="minorHAnsi" w:cstheme="minorHAnsi"/>
          <w:sz w:val="24"/>
          <w:szCs w:val="24"/>
        </w:rPr>
        <w:lastRenderedPageBreak/>
        <w:t>o uchylenie uchwały</w:t>
      </w:r>
      <w:r w:rsidR="00D81A51" w:rsidRPr="00D81A51">
        <w:rPr>
          <w:rFonts w:asciiTheme="minorHAnsi" w:eastAsia="Times New Roman" w:hAnsiTheme="minorHAnsi" w:cstheme="minorHAnsi"/>
          <w:sz w:val="24"/>
          <w:szCs w:val="24"/>
        </w:rPr>
        <w:t xml:space="preserve"> lub</w:t>
      </w:r>
      <w:r w:rsidR="00D81A5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81A51">
        <w:rPr>
          <w:rFonts w:asciiTheme="minorHAnsi" w:eastAsia="Times New Roman" w:hAnsiTheme="minorHAnsi" w:cstheme="minorHAnsi"/>
          <w:sz w:val="24"/>
          <w:szCs w:val="24"/>
        </w:rPr>
        <w:t>o stwierdzenie nieważności uchwały,</w:t>
      </w:r>
    </w:p>
    <w:p w14:paraId="48DD6B00" w14:textId="1A1EEF74" w:rsidR="00EE37D2" w:rsidRPr="00D81A51" w:rsidRDefault="00EE37D2" w:rsidP="004B600E">
      <w:pPr>
        <w:pStyle w:val="Akapitzlist"/>
        <w:numPr>
          <w:ilvl w:val="3"/>
          <w:numId w:val="49"/>
        </w:numPr>
        <w:spacing w:after="0" w:line="336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81A51">
        <w:rPr>
          <w:rFonts w:asciiTheme="minorHAnsi" w:eastAsia="Times New Roman" w:hAnsiTheme="minorHAnsi" w:cstheme="minorHAnsi"/>
          <w:sz w:val="24"/>
          <w:szCs w:val="24"/>
        </w:rPr>
        <w:t>o zapłatę na podstawie art. 299 k.s.h.</w:t>
      </w:r>
      <w:r w:rsidR="00D81A51" w:rsidRPr="00D81A5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81A51">
        <w:rPr>
          <w:rFonts w:asciiTheme="minorHAnsi" w:eastAsia="Times New Roman" w:hAnsiTheme="minorHAnsi" w:cstheme="minorHAnsi"/>
          <w:sz w:val="24"/>
          <w:szCs w:val="24"/>
        </w:rPr>
        <w:t xml:space="preserve">lub </w:t>
      </w:r>
      <w:r w:rsidRPr="00D81A51">
        <w:rPr>
          <w:rFonts w:asciiTheme="minorHAnsi" w:eastAsia="Times New Roman" w:hAnsiTheme="minorHAnsi" w:cstheme="minorHAnsi"/>
          <w:sz w:val="24"/>
          <w:szCs w:val="24"/>
        </w:rPr>
        <w:t>o zapłatę na podstawie innych przepisów regulujących odpowiedzialnoś</w:t>
      </w:r>
      <w:r w:rsidR="00C33D40" w:rsidRPr="00D81A51">
        <w:rPr>
          <w:rFonts w:asciiTheme="minorHAnsi" w:eastAsia="Times New Roman" w:hAnsiTheme="minorHAnsi" w:cstheme="minorHAnsi"/>
          <w:sz w:val="24"/>
          <w:szCs w:val="24"/>
        </w:rPr>
        <w:t>ć</w:t>
      </w:r>
      <w:r w:rsidRPr="00D81A51">
        <w:rPr>
          <w:rFonts w:asciiTheme="minorHAnsi" w:eastAsia="Times New Roman" w:hAnsiTheme="minorHAnsi" w:cstheme="minorHAnsi"/>
          <w:sz w:val="24"/>
          <w:szCs w:val="24"/>
        </w:rPr>
        <w:t xml:space="preserve"> członków organów spółki za zobowiązania wobec spółki albo jej wierzycieli.</w:t>
      </w:r>
    </w:p>
    <w:p w14:paraId="700879F7" w14:textId="5988131A" w:rsidR="006253AB" w:rsidRPr="001F219D" w:rsidRDefault="00D81A51" w:rsidP="00D81A51">
      <w:pPr>
        <w:pStyle w:val="Akapitzlist"/>
        <w:numPr>
          <w:ilvl w:val="2"/>
          <w:numId w:val="45"/>
        </w:numPr>
        <w:spacing w:after="0" w:line="336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42562128"/>
      <w:r>
        <w:rPr>
          <w:rFonts w:asciiTheme="minorHAnsi" w:hAnsiTheme="minorHAnsi" w:cstheme="minorHAnsi"/>
          <w:sz w:val="24"/>
          <w:szCs w:val="24"/>
        </w:rPr>
        <w:t xml:space="preserve">sporządzenie </w:t>
      </w:r>
      <w:r w:rsidRPr="001F219D">
        <w:rPr>
          <w:rFonts w:asciiTheme="minorHAnsi" w:hAnsiTheme="minorHAnsi" w:cstheme="minorHAnsi"/>
          <w:sz w:val="24"/>
          <w:szCs w:val="24"/>
        </w:rPr>
        <w:t>co najmniej 1 projekt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="006253AB" w:rsidRPr="001F219D">
        <w:rPr>
          <w:rFonts w:asciiTheme="minorHAnsi" w:hAnsiTheme="minorHAnsi" w:cstheme="minorHAnsi"/>
          <w:sz w:val="24"/>
          <w:szCs w:val="24"/>
        </w:rPr>
        <w:t>postanowie</w:t>
      </w:r>
      <w:r w:rsidR="0009535A" w:rsidRPr="001F219D">
        <w:rPr>
          <w:rFonts w:asciiTheme="minorHAnsi" w:hAnsiTheme="minorHAnsi" w:cstheme="minorHAnsi"/>
          <w:sz w:val="24"/>
          <w:szCs w:val="24"/>
        </w:rPr>
        <w:t>nia</w:t>
      </w:r>
      <w:r w:rsidR="006253AB" w:rsidRPr="001F219D">
        <w:rPr>
          <w:rFonts w:asciiTheme="minorHAnsi" w:hAnsiTheme="minorHAnsi" w:cstheme="minorHAnsi"/>
          <w:sz w:val="24"/>
          <w:szCs w:val="24"/>
        </w:rPr>
        <w:t xml:space="preserve"> o dopuszczeniu dowodu z opinii biegłego, wraz z odpowiednimi zarządzeniami, w spraw</w:t>
      </w:r>
      <w:r w:rsidR="0009535A" w:rsidRPr="001F219D">
        <w:rPr>
          <w:rFonts w:asciiTheme="minorHAnsi" w:hAnsiTheme="minorHAnsi" w:cstheme="minorHAnsi"/>
          <w:sz w:val="24"/>
          <w:szCs w:val="24"/>
        </w:rPr>
        <w:t>ie</w:t>
      </w:r>
      <w:r w:rsidR="006253AB" w:rsidRPr="001F219D">
        <w:rPr>
          <w:rFonts w:asciiTheme="minorHAnsi" w:hAnsiTheme="minorHAnsi" w:cstheme="minorHAnsi"/>
          <w:sz w:val="24"/>
          <w:szCs w:val="24"/>
        </w:rPr>
        <w:t xml:space="preserve"> </w:t>
      </w:r>
      <w:r w:rsidR="0009535A" w:rsidRPr="001F219D">
        <w:rPr>
          <w:rFonts w:asciiTheme="minorHAnsi" w:hAnsiTheme="minorHAnsi" w:cstheme="minorHAnsi"/>
          <w:sz w:val="24"/>
          <w:szCs w:val="24"/>
          <w:lang w:val="pl"/>
        </w:rPr>
        <w:t>dotyczącej</w:t>
      </w:r>
      <w:r w:rsidR="006253AB" w:rsidRPr="001F219D">
        <w:rPr>
          <w:rFonts w:asciiTheme="minorHAnsi" w:hAnsiTheme="minorHAnsi" w:cstheme="minorHAnsi"/>
          <w:sz w:val="24"/>
          <w:szCs w:val="24"/>
          <w:lang w:val="pl"/>
        </w:rPr>
        <w:t xml:space="preserve"> odpowiedzialności cywilnoprawnej </w:t>
      </w:r>
      <w:r w:rsidR="002D2938" w:rsidRPr="001F219D">
        <w:rPr>
          <w:rFonts w:asciiTheme="minorHAnsi" w:hAnsiTheme="minorHAnsi" w:cstheme="minorHAnsi"/>
          <w:sz w:val="24"/>
          <w:szCs w:val="24"/>
          <w:lang w:val="pl"/>
        </w:rPr>
        <w:t>uregulowanej w k.s.h. (art. 291-</w:t>
      </w:r>
      <w:r w:rsidR="006253AB" w:rsidRPr="001F219D">
        <w:rPr>
          <w:rFonts w:asciiTheme="minorHAnsi" w:hAnsiTheme="minorHAnsi" w:cstheme="minorHAnsi"/>
          <w:sz w:val="24"/>
          <w:szCs w:val="24"/>
          <w:lang w:val="pl"/>
        </w:rPr>
        <w:t>300 ora</w:t>
      </w:r>
      <w:r w:rsidR="002D2938" w:rsidRPr="001F219D">
        <w:rPr>
          <w:rFonts w:asciiTheme="minorHAnsi" w:hAnsiTheme="minorHAnsi" w:cstheme="minorHAnsi"/>
          <w:sz w:val="24"/>
          <w:szCs w:val="24"/>
          <w:lang w:val="pl"/>
        </w:rPr>
        <w:t>z art. 479-</w:t>
      </w:r>
      <w:r w:rsidR="007C3DAE" w:rsidRPr="001F219D">
        <w:rPr>
          <w:rFonts w:asciiTheme="minorHAnsi" w:hAnsiTheme="minorHAnsi" w:cstheme="minorHAnsi"/>
          <w:sz w:val="24"/>
          <w:szCs w:val="24"/>
          <w:lang w:val="pl"/>
        </w:rPr>
        <w:t>490 k.s.h.) albo w </w:t>
      </w:r>
      <w:r w:rsidR="006253AB" w:rsidRPr="001F219D">
        <w:rPr>
          <w:rFonts w:asciiTheme="minorHAnsi" w:hAnsiTheme="minorHAnsi" w:cstheme="minorHAnsi"/>
          <w:sz w:val="24"/>
          <w:szCs w:val="24"/>
          <w:lang w:val="pl"/>
        </w:rPr>
        <w:t>art. 21 ust</w:t>
      </w:r>
      <w:r w:rsidR="0009535A" w:rsidRPr="001F219D">
        <w:rPr>
          <w:rFonts w:asciiTheme="minorHAnsi" w:hAnsiTheme="minorHAnsi" w:cstheme="minorHAnsi"/>
          <w:sz w:val="24"/>
          <w:szCs w:val="24"/>
          <w:lang w:val="pl"/>
        </w:rPr>
        <w:t xml:space="preserve">. 3 ustawy – Prawo upadłościowe; </w:t>
      </w:r>
    </w:p>
    <w:p w14:paraId="15964C88" w14:textId="287161DA" w:rsidR="0009535A" w:rsidRPr="001A6F9B" w:rsidRDefault="00D81A51" w:rsidP="00D81A51">
      <w:pPr>
        <w:pStyle w:val="Akapitzlist"/>
        <w:numPr>
          <w:ilvl w:val="2"/>
          <w:numId w:val="45"/>
        </w:numPr>
        <w:spacing w:after="120" w:line="336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</w:rPr>
        <w:t xml:space="preserve">sporządzenie </w:t>
      </w:r>
      <w:r w:rsidRPr="001F219D">
        <w:rPr>
          <w:rFonts w:asciiTheme="minorHAnsi" w:hAnsiTheme="minorHAnsi" w:cstheme="minorHAnsi"/>
          <w:sz w:val="24"/>
          <w:szCs w:val="24"/>
        </w:rPr>
        <w:t>co najmniej 1 projekt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="0009535A" w:rsidRPr="001A6F9B">
        <w:rPr>
          <w:rFonts w:asciiTheme="minorHAnsi" w:hAnsiTheme="minorHAnsi" w:cstheme="minorHAnsi"/>
          <w:sz w:val="24"/>
          <w:szCs w:val="24"/>
          <w:lang w:val="pl"/>
        </w:rPr>
        <w:t>postanowienia w przedmiocie zabezpieczenia w</w:t>
      </w:r>
      <w:r>
        <w:rPr>
          <w:rFonts w:asciiTheme="minorHAnsi" w:hAnsiTheme="minorHAnsi" w:cstheme="minorHAnsi"/>
          <w:sz w:val="24"/>
          <w:szCs w:val="24"/>
          <w:lang w:val="pl"/>
        </w:rPr>
        <w:t> </w:t>
      </w:r>
      <w:r w:rsidR="0009535A" w:rsidRPr="001A6F9B">
        <w:rPr>
          <w:rFonts w:asciiTheme="minorHAnsi" w:hAnsiTheme="minorHAnsi" w:cstheme="minorHAnsi"/>
          <w:sz w:val="24"/>
          <w:szCs w:val="24"/>
          <w:lang w:val="pl"/>
        </w:rPr>
        <w:t>spraw</w:t>
      </w:r>
      <w:r>
        <w:rPr>
          <w:rFonts w:asciiTheme="minorHAnsi" w:hAnsiTheme="minorHAnsi" w:cstheme="minorHAnsi"/>
          <w:sz w:val="24"/>
          <w:szCs w:val="24"/>
          <w:lang w:val="pl"/>
        </w:rPr>
        <w:t>ie</w:t>
      </w:r>
      <w:r w:rsidR="0009535A" w:rsidRPr="001A6F9B">
        <w:rPr>
          <w:rFonts w:asciiTheme="minorHAnsi" w:hAnsiTheme="minorHAnsi" w:cstheme="minorHAnsi"/>
          <w:sz w:val="24"/>
          <w:szCs w:val="24"/>
          <w:lang w:val="pl"/>
        </w:rPr>
        <w:t xml:space="preserve"> o</w:t>
      </w:r>
      <w:r w:rsidR="00C33D40">
        <w:rPr>
          <w:rFonts w:asciiTheme="minorHAnsi" w:hAnsiTheme="minorHAnsi" w:cstheme="minorHAnsi"/>
          <w:sz w:val="24"/>
          <w:szCs w:val="24"/>
          <w:lang w:val="pl"/>
        </w:rPr>
        <w:t> </w:t>
      </w:r>
      <w:r w:rsidR="0009535A" w:rsidRPr="001A6F9B">
        <w:rPr>
          <w:rFonts w:asciiTheme="minorHAnsi" w:hAnsiTheme="minorHAnsi" w:cstheme="minorHAnsi"/>
          <w:sz w:val="24"/>
          <w:szCs w:val="24"/>
          <w:lang w:val="pl"/>
        </w:rPr>
        <w:t xml:space="preserve">uchylenie uchwały </w:t>
      </w:r>
      <w:r>
        <w:rPr>
          <w:rFonts w:asciiTheme="minorHAnsi" w:hAnsiTheme="minorHAnsi" w:cstheme="minorHAnsi"/>
          <w:sz w:val="24"/>
          <w:szCs w:val="24"/>
          <w:lang w:val="pl"/>
        </w:rPr>
        <w:t>lub</w:t>
      </w:r>
      <w:r w:rsidR="0009535A" w:rsidRPr="001A6F9B">
        <w:rPr>
          <w:rFonts w:asciiTheme="minorHAnsi" w:hAnsiTheme="minorHAnsi" w:cstheme="minorHAnsi"/>
          <w:sz w:val="24"/>
          <w:szCs w:val="24"/>
          <w:lang w:val="pl"/>
        </w:rPr>
        <w:t xml:space="preserve"> o stwierdzenie nieważności uchwały. </w:t>
      </w:r>
    </w:p>
    <w:bookmarkEnd w:id="3"/>
    <w:p w14:paraId="5BB39C3D" w14:textId="77777777" w:rsidR="00C53502" w:rsidRPr="001A6F9B" w:rsidRDefault="00C53502" w:rsidP="00D81A51">
      <w:pPr>
        <w:spacing w:after="120" w:line="336" w:lineRule="auto"/>
        <w:ind w:left="360" w:firstLine="348"/>
        <w:jc w:val="both"/>
        <w:rPr>
          <w:rFonts w:asciiTheme="minorHAnsi" w:hAnsiTheme="minorHAnsi" w:cstheme="minorHAnsi"/>
          <w:sz w:val="24"/>
          <w:szCs w:val="24"/>
        </w:rPr>
      </w:pPr>
    </w:p>
    <w:p w14:paraId="3447D48F" w14:textId="77777777" w:rsidR="00A35014" w:rsidRPr="001A6F9B" w:rsidRDefault="00A35014" w:rsidP="00D81A51">
      <w:pPr>
        <w:spacing w:after="0" w:line="336" w:lineRule="auto"/>
        <w:ind w:left="3538"/>
        <w:jc w:val="center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hAnsiTheme="minorHAnsi" w:cstheme="minorHAnsi"/>
          <w:sz w:val="24"/>
          <w:szCs w:val="24"/>
        </w:rPr>
        <w:t>Kierownik Działu Dydaktycznego OAS</w:t>
      </w:r>
    </w:p>
    <w:p w14:paraId="42B24A37" w14:textId="588DBD8A" w:rsidR="00A35014" w:rsidRPr="001A6F9B" w:rsidRDefault="0065224E" w:rsidP="00D81A51">
      <w:pPr>
        <w:spacing w:after="0" w:line="336" w:lineRule="auto"/>
        <w:ind w:left="353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Magdalena Nagaduś</w:t>
      </w:r>
    </w:p>
    <w:p w14:paraId="4CD5F8C5" w14:textId="77777777" w:rsidR="00A35014" w:rsidRPr="001A6F9B" w:rsidRDefault="00A35014" w:rsidP="00D81A51">
      <w:pPr>
        <w:spacing w:after="120" w:line="336" w:lineRule="auto"/>
        <w:ind w:left="3540"/>
        <w:jc w:val="center"/>
        <w:rPr>
          <w:rFonts w:asciiTheme="minorHAnsi" w:hAnsiTheme="minorHAnsi" w:cstheme="minorHAnsi"/>
          <w:sz w:val="24"/>
          <w:szCs w:val="24"/>
        </w:rPr>
      </w:pPr>
      <w:r w:rsidRPr="001A6F9B">
        <w:rPr>
          <w:rFonts w:asciiTheme="minorHAnsi" w:hAnsiTheme="minorHAnsi" w:cstheme="minorHAnsi"/>
          <w:sz w:val="24"/>
          <w:szCs w:val="24"/>
        </w:rPr>
        <w:t>sędzia</w:t>
      </w:r>
    </w:p>
    <w:p w14:paraId="17A19B4E" w14:textId="5D1BCF5B" w:rsidR="00775A12" w:rsidRPr="001A6F9B" w:rsidRDefault="00CB279B" w:rsidP="00D81A51">
      <w:pPr>
        <w:spacing w:after="120" w:line="33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775A12" w:rsidRPr="001A6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E6BA" w14:textId="77777777" w:rsidR="00CB279B" w:rsidRDefault="00CB279B" w:rsidP="00AA67CD">
      <w:pPr>
        <w:spacing w:after="0" w:line="240" w:lineRule="auto"/>
      </w:pPr>
      <w:r>
        <w:separator/>
      </w:r>
    </w:p>
  </w:endnote>
  <w:endnote w:type="continuationSeparator" w:id="0">
    <w:p w14:paraId="37969D37" w14:textId="77777777" w:rsidR="00CB279B" w:rsidRDefault="00CB279B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783708"/>
      <w:docPartObj>
        <w:docPartGallery w:val="Page Numbers (Bottom of Page)"/>
        <w:docPartUnique/>
      </w:docPartObj>
    </w:sdtPr>
    <w:sdtEndPr/>
    <w:sdtContent>
      <w:p w14:paraId="6795A8AE" w14:textId="54D7E426" w:rsidR="00E53375" w:rsidRDefault="00E533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89">
          <w:rPr>
            <w:noProof/>
          </w:rPr>
          <w:t>2</w:t>
        </w:r>
        <w:r>
          <w:fldChar w:fldCharType="end"/>
        </w:r>
      </w:p>
    </w:sdtContent>
  </w:sdt>
  <w:p w14:paraId="5381AF76" w14:textId="77777777" w:rsidR="00E53375" w:rsidRDefault="00E53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CCAC9" w14:textId="77777777" w:rsidR="00CB279B" w:rsidRDefault="00CB279B" w:rsidP="00AA67CD">
      <w:pPr>
        <w:spacing w:after="0" w:line="240" w:lineRule="auto"/>
      </w:pPr>
      <w:r>
        <w:separator/>
      </w:r>
    </w:p>
  </w:footnote>
  <w:footnote w:type="continuationSeparator" w:id="0">
    <w:p w14:paraId="4A954CEC" w14:textId="77777777" w:rsidR="00CB279B" w:rsidRDefault="00CB279B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887A492C"/>
    <w:lvl w:ilvl="0" w:tplc="93A0EA1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A6BBD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E2FD4"/>
    <w:multiLevelType w:val="hybridMultilevel"/>
    <w:tmpl w:val="2FF641D2"/>
    <w:lvl w:ilvl="0" w:tplc="04150017">
      <w:start w:val="1"/>
      <w:numFmt w:val="lowerLetter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3601"/>
    <w:multiLevelType w:val="hybridMultilevel"/>
    <w:tmpl w:val="48729916"/>
    <w:lvl w:ilvl="0" w:tplc="62C800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CBE"/>
    <w:multiLevelType w:val="hybridMultilevel"/>
    <w:tmpl w:val="63B80F24"/>
    <w:lvl w:ilvl="0" w:tplc="4FC4A6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 w15:restartNumberingAfterBreak="0">
    <w:nsid w:val="253E727E"/>
    <w:multiLevelType w:val="hybridMultilevel"/>
    <w:tmpl w:val="6E089A12"/>
    <w:lvl w:ilvl="0" w:tplc="C99E4CEC">
      <w:numFmt w:val="bullet"/>
      <w:lvlText w:val=""/>
      <w:lvlJc w:val="left"/>
      <w:pPr>
        <w:ind w:left="43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2" w15:restartNumberingAfterBreak="0">
    <w:nsid w:val="260F3B21"/>
    <w:multiLevelType w:val="hybridMultilevel"/>
    <w:tmpl w:val="1D0465BE"/>
    <w:lvl w:ilvl="0" w:tplc="CD12CD1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D765C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AB67EF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93BEB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F4DEC"/>
    <w:multiLevelType w:val="hybridMultilevel"/>
    <w:tmpl w:val="27F674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561AF"/>
    <w:multiLevelType w:val="hybridMultilevel"/>
    <w:tmpl w:val="90AEDA1A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45BC6F47"/>
    <w:multiLevelType w:val="hybridMultilevel"/>
    <w:tmpl w:val="6D329958"/>
    <w:lvl w:ilvl="0" w:tplc="04150011">
      <w:start w:val="1"/>
      <w:numFmt w:val="decimal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EE2D3B"/>
    <w:multiLevelType w:val="hybridMultilevel"/>
    <w:tmpl w:val="65FA8582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4992E08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CD7A752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5228E"/>
    <w:multiLevelType w:val="hybridMultilevel"/>
    <w:tmpl w:val="A536845C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3B3442"/>
    <w:multiLevelType w:val="hybridMultilevel"/>
    <w:tmpl w:val="0D641524"/>
    <w:lvl w:ilvl="0" w:tplc="51628A8C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5FAA493B"/>
    <w:multiLevelType w:val="hybridMultilevel"/>
    <w:tmpl w:val="4D262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7">
      <w:start w:val="1"/>
      <w:numFmt w:val="lowerLetter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2A2695"/>
    <w:multiLevelType w:val="hybridMultilevel"/>
    <w:tmpl w:val="47CCBE6E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3864DA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B0F44"/>
    <w:multiLevelType w:val="hybridMultilevel"/>
    <w:tmpl w:val="8CBCA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4" w15:restartNumberingAfterBreak="0">
    <w:nsid w:val="7D15750F"/>
    <w:multiLevelType w:val="hybridMultilevel"/>
    <w:tmpl w:val="37D0B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37"/>
  </w:num>
  <w:num w:numId="5">
    <w:abstractNumId w:val="39"/>
  </w:num>
  <w:num w:numId="6">
    <w:abstractNumId w:val="14"/>
  </w:num>
  <w:num w:numId="7">
    <w:abstractNumId w:val="38"/>
  </w:num>
  <w:num w:numId="8">
    <w:abstractNumId w:val="18"/>
  </w:num>
  <w:num w:numId="9">
    <w:abstractNumId w:val="13"/>
  </w:num>
  <w:num w:numId="10">
    <w:abstractNumId w:val="45"/>
  </w:num>
  <w:num w:numId="11">
    <w:abstractNumId w:val="10"/>
  </w:num>
  <w:num w:numId="12">
    <w:abstractNumId w:val="17"/>
  </w:num>
  <w:num w:numId="13">
    <w:abstractNumId w:val="24"/>
  </w:num>
  <w:num w:numId="14">
    <w:abstractNumId w:val="34"/>
  </w:num>
  <w:num w:numId="15">
    <w:abstractNumId w:val="4"/>
  </w:num>
  <w:num w:numId="16">
    <w:abstractNumId w:val="26"/>
  </w:num>
  <w:num w:numId="17">
    <w:abstractNumId w:val="16"/>
  </w:num>
  <w:num w:numId="18">
    <w:abstractNumId w:val="6"/>
  </w:num>
  <w:num w:numId="19">
    <w:abstractNumId w:val="29"/>
  </w:num>
  <w:num w:numId="20">
    <w:abstractNumId w:val="7"/>
  </w:num>
  <w:num w:numId="21">
    <w:abstractNumId w:val="35"/>
  </w:num>
  <w:num w:numId="22">
    <w:abstractNumId w:val="27"/>
  </w:num>
  <w:num w:numId="23">
    <w:abstractNumId w:val="36"/>
  </w:num>
  <w:num w:numId="24">
    <w:abstractNumId w:val="31"/>
  </w:num>
  <w:num w:numId="25">
    <w:abstractNumId w:val="0"/>
  </w:num>
  <w:num w:numId="26">
    <w:abstractNumId w:val="9"/>
  </w:num>
  <w:num w:numId="27">
    <w:abstractNumId w:val="40"/>
  </w:num>
  <w:num w:numId="28">
    <w:abstractNumId w:val="1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5"/>
  </w:num>
  <w:num w:numId="36">
    <w:abstractNumId w:val="22"/>
  </w:num>
  <w:num w:numId="37">
    <w:abstractNumId w:val="8"/>
  </w:num>
  <w:num w:numId="38">
    <w:abstractNumId w:val="19"/>
  </w:num>
  <w:num w:numId="39">
    <w:abstractNumId w:val="11"/>
  </w:num>
  <w:num w:numId="40">
    <w:abstractNumId w:val="28"/>
  </w:num>
  <w:num w:numId="41">
    <w:abstractNumId w:val="3"/>
  </w:num>
  <w:num w:numId="42">
    <w:abstractNumId w:val="32"/>
  </w:num>
  <w:num w:numId="43">
    <w:abstractNumId w:val="5"/>
  </w:num>
  <w:num w:numId="44">
    <w:abstractNumId w:val="41"/>
  </w:num>
  <w:num w:numId="45">
    <w:abstractNumId w:val="25"/>
  </w:num>
  <w:num w:numId="46">
    <w:abstractNumId w:val="33"/>
  </w:num>
  <w:num w:numId="47">
    <w:abstractNumId w:val="42"/>
  </w:num>
  <w:num w:numId="48">
    <w:abstractNumId w:val="2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8C"/>
    <w:rsid w:val="000005CF"/>
    <w:rsid w:val="000324AC"/>
    <w:rsid w:val="000672CB"/>
    <w:rsid w:val="00074689"/>
    <w:rsid w:val="0008304C"/>
    <w:rsid w:val="00085E89"/>
    <w:rsid w:val="0008687E"/>
    <w:rsid w:val="00093F0F"/>
    <w:rsid w:val="0009535A"/>
    <w:rsid w:val="000D378A"/>
    <w:rsid w:val="000F79CE"/>
    <w:rsid w:val="00183F02"/>
    <w:rsid w:val="00195D0B"/>
    <w:rsid w:val="001967BC"/>
    <w:rsid w:val="001A6F9B"/>
    <w:rsid w:val="001C5C56"/>
    <w:rsid w:val="001D5E58"/>
    <w:rsid w:val="001E1E79"/>
    <w:rsid w:val="001E5109"/>
    <w:rsid w:val="001F219D"/>
    <w:rsid w:val="00200FA4"/>
    <w:rsid w:val="00225EE4"/>
    <w:rsid w:val="002A77D9"/>
    <w:rsid w:val="002D2938"/>
    <w:rsid w:val="002E29B1"/>
    <w:rsid w:val="003469CC"/>
    <w:rsid w:val="0035602F"/>
    <w:rsid w:val="003641BA"/>
    <w:rsid w:val="00374436"/>
    <w:rsid w:val="003E0D14"/>
    <w:rsid w:val="00417D3D"/>
    <w:rsid w:val="004256AA"/>
    <w:rsid w:val="0049107A"/>
    <w:rsid w:val="004C2C39"/>
    <w:rsid w:val="004C6C76"/>
    <w:rsid w:val="004E6D13"/>
    <w:rsid w:val="004F3173"/>
    <w:rsid w:val="00534FC5"/>
    <w:rsid w:val="005800A4"/>
    <w:rsid w:val="00580C4E"/>
    <w:rsid w:val="00584A70"/>
    <w:rsid w:val="005C6488"/>
    <w:rsid w:val="005E2653"/>
    <w:rsid w:val="006253AB"/>
    <w:rsid w:val="0065224E"/>
    <w:rsid w:val="0067695C"/>
    <w:rsid w:val="00682245"/>
    <w:rsid w:val="00691A3F"/>
    <w:rsid w:val="00693C03"/>
    <w:rsid w:val="00694CE4"/>
    <w:rsid w:val="006B1A06"/>
    <w:rsid w:val="006C4CDF"/>
    <w:rsid w:val="006D7F5D"/>
    <w:rsid w:val="006E6B11"/>
    <w:rsid w:val="007007FA"/>
    <w:rsid w:val="00731530"/>
    <w:rsid w:val="0075034A"/>
    <w:rsid w:val="0075750E"/>
    <w:rsid w:val="007879D4"/>
    <w:rsid w:val="007903CF"/>
    <w:rsid w:val="00795899"/>
    <w:rsid w:val="007B6F11"/>
    <w:rsid w:val="007C3A8C"/>
    <w:rsid w:val="007C3DAE"/>
    <w:rsid w:val="007D357B"/>
    <w:rsid w:val="007F28CC"/>
    <w:rsid w:val="0080760E"/>
    <w:rsid w:val="00810460"/>
    <w:rsid w:val="00822882"/>
    <w:rsid w:val="00883200"/>
    <w:rsid w:val="0088627E"/>
    <w:rsid w:val="008B25AB"/>
    <w:rsid w:val="008C3394"/>
    <w:rsid w:val="008D745E"/>
    <w:rsid w:val="008E68AF"/>
    <w:rsid w:val="008F18D4"/>
    <w:rsid w:val="009135B9"/>
    <w:rsid w:val="00917D5F"/>
    <w:rsid w:val="00945FF7"/>
    <w:rsid w:val="00995841"/>
    <w:rsid w:val="009A4036"/>
    <w:rsid w:val="009A4EB5"/>
    <w:rsid w:val="009B3CA4"/>
    <w:rsid w:val="009D5004"/>
    <w:rsid w:val="009E0CFB"/>
    <w:rsid w:val="00A24D29"/>
    <w:rsid w:val="00A322B3"/>
    <w:rsid w:val="00A330BB"/>
    <w:rsid w:val="00A35014"/>
    <w:rsid w:val="00A76E09"/>
    <w:rsid w:val="00AA67CD"/>
    <w:rsid w:val="00AC7DA6"/>
    <w:rsid w:val="00AF0B2D"/>
    <w:rsid w:val="00B03962"/>
    <w:rsid w:val="00B23DD8"/>
    <w:rsid w:val="00B27341"/>
    <w:rsid w:val="00B81B62"/>
    <w:rsid w:val="00BC0D9C"/>
    <w:rsid w:val="00BD1CAA"/>
    <w:rsid w:val="00C33D40"/>
    <w:rsid w:val="00C53502"/>
    <w:rsid w:val="00C66B40"/>
    <w:rsid w:val="00CA6BED"/>
    <w:rsid w:val="00CB001C"/>
    <w:rsid w:val="00CB279B"/>
    <w:rsid w:val="00CB74E7"/>
    <w:rsid w:val="00D13B3D"/>
    <w:rsid w:val="00D358DC"/>
    <w:rsid w:val="00D4547F"/>
    <w:rsid w:val="00D55391"/>
    <w:rsid w:val="00D6448C"/>
    <w:rsid w:val="00D708B2"/>
    <w:rsid w:val="00D75479"/>
    <w:rsid w:val="00D81A51"/>
    <w:rsid w:val="00D84572"/>
    <w:rsid w:val="00DD3B36"/>
    <w:rsid w:val="00E16AC9"/>
    <w:rsid w:val="00E53375"/>
    <w:rsid w:val="00E67DC7"/>
    <w:rsid w:val="00E7483E"/>
    <w:rsid w:val="00EE37D2"/>
    <w:rsid w:val="00EE39CA"/>
    <w:rsid w:val="00F053FD"/>
    <w:rsid w:val="00F1142C"/>
    <w:rsid w:val="00F36BCE"/>
    <w:rsid w:val="00F41541"/>
    <w:rsid w:val="00F90ABB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  <w15:docId w15:val="{7F9B3657-3DDA-4232-AD33-F1181960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693C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93C0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AB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AB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5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9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B1EA-6A05-4688-A7E8-F4F79344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Magdalena Kowalczyk</cp:lastModifiedBy>
  <cp:revision>2</cp:revision>
  <cp:lastPrinted>2023-08-10T10:48:00Z</cp:lastPrinted>
  <dcterms:created xsi:type="dcterms:W3CDTF">2025-05-09T12:35:00Z</dcterms:created>
  <dcterms:modified xsi:type="dcterms:W3CDTF">2025-05-09T12:35:00Z</dcterms:modified>
</cp:coreProperties>
</file>