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D29" w:rsidRPr="000D7A1C" w:rsidRDefault="00A24D29" w:rsidP="000D7A1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</w:p>
    <w:p w:rsidR="007C3A8C" w:rsidRPr="000D7A1C" w:rsidRDefault="007C3A8C" w:rsidP="000D7A1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spacing w:line="360" w:lineRule="auto"/>
        <w:ind w:left="-851" w:right="5526"/>
        <w:rPr>
          <w:spacing w:val="20"/>
        </w:rPr>
      </w:pPr>
      <w:r w:rsidRPr="000D7A1C">
        <w:rPr>
          <w:noProof/>
        </w:rPr>
        <w:drawing>
          <wp:anchor distT="0" distB="0" distL="114300" distR="114300" simplePos="0" relativeHeight="251659264" behindDoc="0" locked="0" layoutInCell="1" allowOverlap="1" wp14:anchorId="1FF86C5F" wp14:editId="18622B17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C3A8C" w:rsidRPr="000D7A1C" w:rsidRDefault="007C3A8C" w:rsidP="000D7A1C">
      <w:pPr>
        <w:pStyle w:val="Nagwek"/>
        <w:spacing w:line="360" w:lineRule="auto"/>
        <w:ind w:right="4959"/>
        <w:jc w:val="center"/>
        <w:rPr>
          <w:b/>
        </w:rPr>
      </w:pPr>
    </w:p>
    <w:p w:rsidR="007C3A8C" w:rsidRPr="000D7A1C" w:rsidRDefault="007C3A8C" w:rsidP="000D7A1C">
      <w:pPr>
        <w:pStyle w:val="Nagwek"/>
        <w:spacing w:line="360" w:lineRule="auto"/>
        <w:ind w:left="-851" w:right="5526"/>
        <w:jc w:val="center"/>
        <w:rPr>
          <w:b/>
        </w:rPr>
      </w:pPr>
    </w:p>
    <w:p w:rsidR="007C3A8C" w:rsidRPr="000D7A1C" w:rsidRDefault="007C3A8C" w:rsidP="000D7A1C">
      <w:pPr>
        <w:pStyle w:val="Nagwek"/>
        <w:spacing w:line="360" w:lineRule="auto"/>
        <w:ind w:left="-851" w:right="5526"/>
        <w:jc w:val="center"/>
        <w:rPr>
          <w:b/>
        </w:rPr>
      </w:pPr>
      <w:r w:rsidRPr="000D7A1C">
        <w:rPr>
          <w:b/>
        </w:rPr>
        <w:t>KRAJOWA SZKOŁA</w:t>
      </w:r>
    </w:p>
    <w:p w:rsidR="007C3A8C" w:rsidRPr="000D7A1C" w:rsidRDefault="007C3A8C" w:rsidP="000D7A1C">
      <w:pPr>
        <w:pStyle w:val="Nagwek"/>
        <w:spacing w:line="360" w:lineRule="auto"/>
        <w:ind w:left="-851" w:right="5526"/>
        <w:jc w:val="center"/>
        <w:rPr>
          <w:b/>
        </w:rPr>
      </w:pPr>
      <w:r w:rsidRPr="000D7A1C">
        <w:rPr>
          <w:b/>
        </w:rPr>
        <w:t xml:space="preserve"> SĄDOWNICTWA I PROKURATURY</w:t>
      </w:r>
    </w:p>
    <w:p w:rsidR="007C3A8C" w:rsidRPr="000D7A1C" w:rsidRDefault="007C3A8C" w:rsidP="000D7A1C">
      <w:pPr>
        <w:pStyle w:val="Nagwek"/>
        <w:spacing w:line="360" w:lineRule="auto"/>
        <w:ind w:right="4392" w:hanging="283"/>
        <w:rPr>
          <w:b/>
        </w:rPr>
      </w:pPr>
    </w:p>
    <w:p w:rsidR="007C3A8C" w:rsidRPr="000D7A1C" w:rsidRDefault="007C3A8C" w:rsidP="000D7A1C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Kraków, </w:t>
      </w:r>
      <w:r w:rsidR="00527FFC" w:rsidRPr="000D7A1C">
        <w:rPr>
          <w:rFonts w:ascii="Times New Roman" w:hAnsi="Times New Roman"/>
          <w:sz w:val="24"/>
          <w:szCs w:val="24"/>
        </w:rPr>
        <w:t>2</w:t>
      </w:r>
      <w:r w:rsidR="00713CE2" w:rsidRPr="000D7A1C">
        <w:rPr>
          <w:rFonts w:ascii="Times New Roman" w:hAnsi="Times New Roman"/>
          <w:sz w:val="24"/>
          <w:szCs w:val="24"/>
        </w:rPr>
        <w:t>9</w:t>
      </w:r>
      <w:r w:rsidR="00527FFC" w:rsidRPr="000D7A1C">
        <w:rPr>
          <w:rFonts w:ascii="Times New Roman" w:hAnsi="Times New Roman"/>
          <w:sz w:val="24"/>
          <w:szCs w:val="24"/>
        </w:rPr>
        <w:t xml:space="preserve"> </w:t>
      </w:r>
      <w:r w:rsidR="00713CE2" w:rsidRPr="000D7A1C">
        <w:rPr>
          <w:rFonts w:ascii="Times New Roman" w:hAnsi="Times New Roman"/>
          <w:sz w:val="24"/>
          <w:szCs w:val="24"/>
        </w:rPr>
        <w:t>czerwca 2022</w:t>
      </w:r>
      <w:r w:rsidR="0054586E" w:rsidRPr="000D7A1C">
        <w:rPr>
          <w:rFonts w:ascii="Times New Roman" w:hAnsi="Times New Roman"/>
          <w:sz w:val="24"/>
          <w:szCs w:val="24"/>
        </w:rPr>
        <w:t xml:space="preserve"> r</w:t>
      </w:r>
      <w:r w:rsidRPr="000D7A1C">
        <w:rPr>
          <w:rFonts w:ascii="Times New Roman" w:hAnsi="Times New Roman"/>
          <w:sz w:val="24"/>
          <w:szCs w:val="24"/>
        </w:rPr>
        <w:t>.</w:t>
      </w:r>
    </w:p>
    <w:p w:rsidR="00A87C9C" w:rsidRPr="000D7A1C" w:rsidRDefault="00A87C9C" w:rsidP="000D7A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87C9C">
        <w:rPr>
          <w:rFonts w:ascii="Times New Roman" w:eastAsia="Times New Roman" w:hAnsi="Times New Roman"/>
          <w:sz w:val="24"/>
          <w:szCs w:val="24"/>
          <w:lang w:eastAsia="pl-PL"/>
        </w:rPr>
        <w:br/>
        <w:t>OAS-II.420.20.2022</w:t>
      </w:r>
    </w:p>
    <w:p w:rsidR="00713CE2" w:rsidRPr="000D7A1C" w:rsidRDefault="00713CE2" w:rsidP="000D7A1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C3A8C" w:rsidRPr="000D7A1C" w:rsidRDefault="007C3A8C" w:rsidP="000D7A1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0D7A1C"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157AD4">
        <w:rPr>
          <w:rFonts w:ascii="Times New Roman" w:hAnsi="Times New Roman"/>
          <w:i/>
          <w:sz w:val="24"/>
          <w:szCs w:val="24"/>
        </w:rPr>
        <w:t>XI</w:t>
      </w:r>
      <w:r w:rsidRPr="000D7A1C">
        <w:rPr>
          <w:rFonts w:ascii="Times New Roman" w:hAnsi="Times New Roman"/>
          <w:i/>
          <w:sz w:val="24"/>
          <w:szCs w:val="24"/>
        </w:rPr>
        <w:t xml:space="preserve"> roczni</w:t>
      </w:r>
      <w:r w:rsidR="001810FD" w:rsidRPr="000D7A1C">
        <w:rPr>
          <w:rFonts w:ascii="Times New Roman" w:hAnsi="Times New Roman"/>
          <w:i/>
          <w:sz w:val="24"/>
          <w:szCs w:val="24"/>
        </w:rPr>
        <w:t xml:space="preserve">ka aplikacji sędziowskiej po </w:t>
      </w:r>
      <w:r w:rsidR="00A87C9C" w:rsidRPr="000D7A1C">
        <w:rPr>
          <w:rFonts w:ascii="Times New Roman" w:hAnsi="Times New Roman"/>
          <w:i/>
          <w:sz w:val="24"/>
          <w:szCs w:val="24"/>
        </w:rPr>
        <w:t>28</w:t>
      </w:r>
      <w:r w:rsidR="00713CE2" w:rsidRPr="000D7A1C">
        <w:rPr>
          <w:rFonts w:ascii="Times New Roman" w:hAnsi="Times New Roman"/>
          <w:i/>
          <w:sz w:val="24"/>
          <w:szCs w:val="24"/>
        </w:rPr>
        <w:t xml:space="preserve"> </w:t>
      </w:r>
      <w:r w:rsidRPr="000D7A1C">
        <w:rPr>
          <w:rFonts w:ascii="Times New Roman" w:hAnsi="Times New Roman"/>
          <w:i/>
          <w:sz w:val="24"/>
          <w:szCs w:val="24"/>
        </w:rPr>
        <w:t>zjeździe</w:t>
      </w:r>
    </w:p>
    <w:p w:rsidR="007C3A8C" w:rsidRPr="000D7A1C" w:rsidRDefault="007C3A8C" w:rsidP="000D7A1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7C3A8C" w:rsidRPr="000D7A1C" w:rsidRDefault="007C3A8C" w:rsidP="000D7A1C">
      <w:pPr>
        <w:spacing w:after="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b/>
          <w:sz w:val="24"/>
          <w:szCs w:val="24"/>
        </w:rPr>
        <w:t>Do</w:t>
      </w:r>
    </w:p>
    <w:p w:rsidR="007C3A8C" w:rsidRPr="000D7A1C" w:rsidRDefault="0054586E" w:rsidP="000D7A1C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b/>
          <w:sz w:val="24"/>
          <w:szCs w:val="24"/>
        </w:rPr>
        <w:t>P</w:t>
      </w:r>
      <w:r w:rsidR="007C3A8C" w:rsidRPr="000D7A1C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0D7A1C" w:rsidRDefault="007C3A8C" w:rsidP="000D7A1C">
      <w:pPr>
        <w:spacing w:after="0" w:line="360" w:lineRule="auto"/>
        <w:ind w:left="4956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b/>
          <w:sz w:val="24"/>
          <w:szCs w:val="24"/>
        </w:rPr>
        <w:t xml:space="preserve">oraz </w:t>
      </w:r>
      <w:r w:rsidR="0054586E" w:rsidRPr="000D7A1C">
        <w:rPr>
          <w:rFonts w:ascii="Times New Roman" w:hAnsi="Times New Roman"/>
          <w:b/>
          <w:sz w:val="24"/>
          <w:szCs w:val="24"/>
        </w:rPr>
        <w:t>P</w:t>
      </w:r>
      <w:r w:rsidRPr="000D7A1C">
        <w:rPr>
          <w:rFonts w:ascii="Times New Roman" w:hAnsi="Times New Roman"/>
          <w:b/>
          <w:sz w:val="24"/>
          <w:szCs w:val="24"/>
        </w:rPr>
        <w:t>atronów koordynatorów</w:t>
      </w:r>
    </w:p>
    <w:p w:rsidR="007C3A8C" w:rsidRPr="000D7A1C" w:rsidRDefault="007C3A8C" w:rsidP="000D7A1C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7C3A8C" w:rsidRPr="000D7A1C" w:rsidRDefault="007C3A8C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13CE2" w:rsidRPr="000D7A1C" w:rsidRDefault="00713CE2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U</w:t>
      </w:r>
      <w:r w:rsidR="007C3A8C" w:rsidRPr="000D7A1C">
        <w:rPr>
          <w:rFonts w:ascii="Times New Roman" w:hAnsi="Times New Roman"/>
          <w:sz w:val="24"/>
          <w:szCs w:val="24"/>
        </w:rPr>
        <w:t xml:space="preserve">przejmie przedstawiam szczegółowy zakres tematyczny, który </w:t>
      </w:r>
      <w:r w:rsidRPr="000D7A1C">
        <w:rPr>
          <w:rFonts w:ascii="Times New Roman" w:hAnsi="Times New Roman"/>
          <w:sz w:val="24"/>
          <w:szCs w:val="24"/>
        </w:rPr>
        <w:t>po</w:t>
      </w:r>
      <w:r w:rsidR="007C3A8C" w:rsidRPr="000D7A1C">
        <w:rPr>
          <w:rFonts w:ascii="Times New Roman" w:hAnsi="Times New Roman"/>
          <w:sz w:val="24"/>
          <w:szCs w:val="24"/>
        </w:rPr>
        <w:t xml:space="preserve">winien być przedmiotem praktyk aplikantów </w:t>
      </w:r>
      <w:r w:rsidR="00157AD4">
        <w:rPr>
          <w:rFonts w:ascii="Times New Roman" w:hAnsi="Times New Roman"/>
          <w:b/>
          <w:sz w:val="24"/>
          <w:szCs w:val="24"/>
          <w:u w:val="single"/>
        </w:rPr>
        <w:t>XI</w:t>
      </w:r>
      <w:r w:rsidR="007C3A8C" w:rsidRPr="00157AD4">
        <w:rPr>
          <w:rFonts w:ascii="Times New Roman" w:hAnsi="Times New Roman"/>
          <w:b/>
          <w:sz w:val="24"/>
          <w:szCs w:val="24"/>
          <w:u w:val="single"/>
        </w:rPr>
        <w:t xml:space="preserve"> rocznika aplikacji sędziowskiej</w:t>
      </w:r>
      <w:r w:rsidR="007C3A8C" w:rsidRPr="000D7A1C">
        <w:rPr>
          <w:rFonts w:ascii="Times New Roman" w:hAnsi="Times New Roman"/>
          <w:sz w:val="24"/>
          <w:szCs w:val="24"/>
        </w:rPr>
        <w:t xml:space="preserve"> odbywanych w terminie </w:t>
      </w:r>
      <w:r w:rsidR="00A87C9C" w:rsidRPr="00157AD4">
        <w:rPr>
          <w:rFonts w:ascii="Times New Roman" w:hAnsi="Times New Roman"/>
          <w:b/>
          <w:sz w:val="24"/>
          <w:szCs w:val="24"/>
        </w:rPr>
        <w:t>12.09.2022 r.-23.09.2022 r</w:t>
      </w:r>
      <w:r w:rsidR="008D6E43" w:rsidRPr="00157AD4">
        <w:rPr>
          <w:rFonts w:ascii="Times New Roman" w:hAnsi="Times New Roman"/>
          <w:b/>
          <w:sz w:val="24"/>
          <w:szCs w:val="24"/>
        </w:rPr>
        <w:t>.</w:t>
      </w:r>
      <w:r w:rsidR="007C3A8C" w:rsidRPr="000D7A1C">
        <w:rPr>
          <w:rFonts w:ascii="Times New Roman" w:hAnsi="Times New Roman"/>
          <w:sz w:val="24"/>
          <w:szCs w:val="24"/>
        </w:rPr>
        <w:t xml:space="preserve">, po </w:t>
      </w:r>
      <w:r w:rsidR="00A87C9C" w:rsidRPr="00157AD4">
        <w:rPr>
          <w:rFonts w:ascii="Times New Roman" w:hAnsi="Times New Roman"/>
          <w:b/>
          <w:sz w:val="24"/>
          <w:szCs w:val="24"/>
          <w:u w:val="single"/>
        </w:rPr>
        <w:t>28</w:t>
      </w:r>
      <w:r w:rsidRPr="00157A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C3A8C" w:rsidRPr="00157AD4">
        <w:rPr>
          <w:rFonts w:ascii="Times New Roman" w:hAnsi="Times New Roman"/>
          <w:b/>
          <w:sz w:val="24"/>
          <w:szCs w:val="24"/>
          <w:u w:val="single"/>
        </w:rPr>
        <w:t>zjeździe</w:t>
      </w:r>
      <w:r w:rsidR="007C3A8C" w:rsidRPr="000D7A1C">
        <w:rPr>
          <w:rFonts w:ascii="Times New Roman" w:hAnsi="Times New Roman"/>
          <w:sz w:val="24"/>
          <w:szCs w:val="24"/>
        </w:rPr>
        <w:t xml:space="preserve"> aplikacji sędziowskiej</w:t>
      </w:r>
      <w:r w:rsidRPr="000D7A1C">
        <w:rPr>
          <w:rFonts w:ascii="Times New Roman" w:hAnsi="Times New Roman"/>
          <w:sz w:val="24"/>
          <w:szCs w:val="24"/>
        </w:rPr>
        <w:t>.</w:t>
      </w:r>
    </w:p>
    <w:p w:rsidR="007C3A8C" w:rsidRPr="000D7A1C" w:rsidRDefault="007C3A8C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Założeniem praktyki, co do zasady, jest zaznajomienie aplikantów</w:t>
      </w:r>
      <w:r w:rsidR="00142C14" w:rsidRPr="000D7A1C">
        <w:rPr>
          <w:rFonts w:ascii="Times New Roman" w:hAnsi="Times New Roman"/>
          <w:sz w:val="24"/>
          <w:szCs w:val="24"/>
        </w:rPr>
        <w:t xml:space="preserve"> z czynnościami i </w:t>
      </w:r>
      <w:r w:rsidRPr="000D7A1C">
        <w:rPr>
          <w:rFonts w:ascii="Times New Roman" w:hAnsi="Times New Roman"/>
          <w:sz w:val="24"/>
          <w:szCs w:val="24"/>
        </w:rPr>
        <w:t>metodyką pracy sędziego oraz doskonalenie umiejętności wykorzystania wiedzy teoretycznej i znajomości orzecznictwa</w:t>
      </w:r>
      <w:r w:rsidR="0030232A" w:rsidRPr="000D7A1C">
        <w:rPr>
          <w:rFonts w:ascii="Times New Roman" w:hAnsi="Times New Roman"/>
          <w:sz w:val="24"/>
          <w:szCs w:val="24"/>
        </w:rPr>
        <w:t xml:space="preserve"> </w:t>
      </w:r>
      <w:r w:rsidRPr="000D7A1C">
        <w:rPr>
          <w:rFonts w:ascii="Times New Roman" w:hAnsi="Times New Roman"/>
          <w:sz w:val="24"/>
          <w:szCs w:val="24"/>
        </w:rPr>
        <w:t>przy sporządzaniu projektów orzeczeń, zarządzeń i pism procesowych, a także poprzez uczestniczenie w czynnościach podejmowanych przez patrona praktyki.</w:t>
      </w:r>
      <w:r w:rsidR="0030232A" w:rsidRPr="000D7A1C">
        <w:rPr>
          <w:rFonts w:ascii="Times New Roman" w:hAnsi="Times New Roman"/>
          <w:sz w:val="24"/>
          <w:szCs w:val="24"/>
        </w:rPr>
        <w:t xml:space="preserve"> </w:t>
      </w:r>
      <w:r w:rsidRPr="000D7A1C">
        <w:rPr>
          <w:rFonts w:ascii="Times New Roman" w:hAnsi="Times New Roman"/>
          <w:sz w:val="24"/>
          <w:szCs w:val="24"/>
        </w:rPr>
        <w:t xml:space="preserve">Praktyka </w:t>
      </w:r>
      <w:r w:rsidR="00A87C9C" w:rsidRPr="000D7A1C">
        <w:rPr>
          <w:rFonts w:ascii="Times New Roman" w:hAnsi="Times New Roman"/>
          <w:sz w:val="24"/>
          <w:szCs w:val="24"/>
        </w:rPr>
        <w:t>po</w:t>
      </w:r>
      <w:r w:rsidRPr="000D7A1C">
        <w:rPr>
          <w:rFonts w:ascii="Times New Roman" w:hAnsi="Times New Roman"/>
          <w:sz w:val="24"/>
          <w:szCs w:val="24"/>
        </w:rPr>
        <w:t xml:space="preserve">winna utrwalać wiedzę zdobytą przez aplikanta podczas poprzedzających ją zajęć seminaryjnych w ramach zjazdu. </w:t>
      </w:r>
    </w:p>
    <w:p w:rsidR="00A87C9C" w:rsidRPr="000D7A1C" w:rsidRDefault="007C3A8C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Zgodnie z programem aplikacji sędziowskiej realizowanym przez aplikantów </w:t>
      </w:r>
      <w:r w:rsidR="00157AD4">
        <w:rPr>
          <w:rFonts w:ascii="Times New Roman" w:hAnsi="Times New Roman"/>
          <w:sz w:val="24"/>
          <w:szCs w:val="24"/>
        </w:rPr>
        <w:t>XI</w:t>
      </w:r>
      <w:r w:rsidRPr="000D7A1C">
        <w:rPr>
          <w:rFonts w:ascii="Times New Roman" w:hAnsi="Times New Roman"/>
          <w:sz w:val="24"/>
          <w:szCs w:val="24"/>
        </w:rPr>
        <w:t xml:space="preserve"> rocznik</w:t>
      </w:r>
      <w:r w:rsidR="008C32A1" w:rsidRPr="000D7A1C">
        <w:rPr>
          <w:rFonts w:ascii="Times New Roman" w:hAnsi="Times New Roman"/>
          <w:sz w:val="24"/>
          <w:szCs w:val="24"/>
        </w:rPr>
        <w:t xml:space="preserve">a tej aplikacji, przedmiotem </w:t>
      </w:r>
      <w:r w:rsidR="00A87C9C" w:rsidRPr="000D7A1C">
        <w:rPr>
          <w:rFonts w:ascii="Times New Roman" w:hAnsi="Times New Roman"/>
          <w:sz w:val="24"/>
          <w:szCs w:val="24"/>
        </w:rPr>
        <w:t>28</w:t>
      </w:r>
      <w:r w:rsidR="00123B0F" w:rsidRPr="000D7A1C">
        <w:rPr>
          <w:rFonts w:ascii="Times New Roman" w:hAnsi="Times New Roman"/>
          <w:sz w:val="24"/>
          <w:szCs w:val="24"/>
        </w:rPr>
        <w:t xml:space="preserve"> </w:t>
      </w:r>
      <w:r w:rsidRPr="000D7A1C">
        <w:rPr>
          <w:rFonts w:ascii="Times New Roman" w:hAnsi="Times New Roman"/>
          <w:sz w:val="24"/>
          <w:szCs w:val="24"/>
        </w:rPr>
        <w:t xml:space="preserve">zjazdu </w:t>
      </w:r>
      <w:r w:rsidR="00D84572" w:rsidRPr="000D7A1C">
        <w:rPr>
          <w:rFonts w:ascii="Times New Roman" w:hAnsi="Times New Roman"/>
          <w:sz w:val="24"/>
          <w:szCs w:val="24"/>
        </w:rPr>
        <w:t xml:space="preserve">jest </w:t>
      </w:r>
      <w:r w:rsidR="00323537" w:rsidRPr="000D7A1C">
        <w:rPr>
          <w:rFonts w:ascii="Times New Roman" w:hAnsi="Times New Roman"/>
          <w:b/>
          <w:sz w:val="24"/>
          <w:szCs w:val="24"/>
        </w:rPr>
        <w:t xml:space="preserve">prawo </w:t>
      </w:r>
      <w:r w:rsidR="00A87C9C" w:rsidRPr="000D7A1C">
        <w:rPr>
          <w:rFonts w:ascii="Times New Roman" w:hAnsi="Times New Roman"/>
          <w:b/>
          <w:sz w:val="24"/>
          <w:szCs w:val="24"/>
        </w:rPr>
        <w:t>ubezpieczeń społecznych</w:t>
      </w:r>
      <w:r w:rsidR="008C32A1" w:rsidRPr="000D7A1C">
        <w:rPr>
          <w:rFonts w:ascii="Times New Roman" w:hAnsi="Times New Roman"/>
          <w:sz w:val="24"/>
          <w:szCs w:val="24"/>
        </w:rPr>
        <w:t xml:space="preserve">. </w:t>
      </w:r>
    </w:p>
    <w:p w:rsidR="00A87C9C" w:rsidRPr="000D7A1C" w:rsidRDefault="00A87C9C" w:rsidP="00157AD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Po zakończeniu zjazdu aplikanci mają odbyć trwającą 3 tygodnie praktykę w sądzie rejonowym w wydziale pracy i ubezpieczeń społecznych.</w:t>
      </w:r>
    </w:p>
    <w:p w:rsidR="007C3A8C" w:rsidRPr="000D7A1C" w:rsidRDefault="00085E89" w:rsidP="000D7A1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W zakresie spraw </w:t>
      </w:r>
      <w:r w:rsidR="00225EE4" w:rsidRPr="000D7A1C">
        <w:rPr>
          <w:rFonts w:ascii="Times New Roman" w:hAnsi="Times New Roman"/>
          <w:sz w:val="24"/>
          <w:szCs w:val="24"/>
        </w:rPr>
        <w:t xml:space="preserve">będących przedmiotem zjazdu </w:t>
      </w:r>
      <w:r w:rsidR="007C3A8C" w:rsidRPr="000D7A1C">
        <w:rPr>
          <w:rFonts w:ascii="Times New Roman" w:hAnsi="Times New Roman"/>
          <w:sz w:val="24"/>
          <w:szCs w:val="24"/>
        </w:rPr>
        <w:t xml:space="preserve">patron praktyki oraz patron koordynator powinni przy pracy z aplikantami </w:t>
      </w:r>
      <w:r w:rsidR="0049107A" w:rsidRPr="000D7A1C">
        <w:rPr>
          <w:rFonts w:ascii="Times New Roman" w:hAnsi="Times New Roman"/>
          <w:sz w:val="24"/>
          <w:szCs w:val="24"/>
        </w:rPr>
        <w:t xml:space="preserve">podczas praktyki </w:t>
      </w:r>
      <w:r w:rsidR="007C3A8C" w:rsidRPr="000D7A1C">
        <w:rPr>
          <w:rFonts w:ascii="Times New Roman" w:hAnsi="Times New Roman"/>
          <w:sz w:val="24"/>
          <w:szCs w:val="24"/>
        </w:rPr>
        <w:t xml:space="preserve">poświęcić szczególną uwagę zagadnieniom </w:t>
      </w:r>
      <w:r w:rsidR="007C3A8C" w:rsidRPr="000D7A1C">
        <w:rPr>
          <w:rFonts w:ascii="Times New Roman" w:hAnsi="Times New Roman"/>
          <w:b/>
          <w:sz w:val="24"/>
          <w:szCs w:val="24"/>
        </w:rPr>
        <w:t>z zakresu prawa materialnego</w:t>
      </w:r>
      <w:r w:rsidR="00142C14" w:rsidRPr="000D7A1C">
        <w:rPr>
          <w:rFonts w:ascii="Times New Roman" w:hAnsi="Times New Roman"/>
          <w:b/>
          <w:sz w:val="24"/>
          <w:szCs w:val="24"/>
        </w:rPr>
        <w:t xml:space="preserve"> obejmującym</w:t>
      </w:r>
      <w:r w:rsidR="007C3A8C" w:rsidRPr="000D7A1C">
        <w:rPr>
          <w:rFonts w:ascii="Times New Roman" w:hAnsi="Times New Roman"/>
          <w:b/>
          <w:sz w:val="24"/>
          <w:szCs w:val="24"/>
        </w:rPr>
        <w:t>:</w:t>
      </w:r>
    </w:p>
    <w:p w:rsidR="00A87C9C" w:rsidRPr="000D7A1C" w:rsidRDefault="00A87C9C" w:rsidP="000D7A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lastRenderedPageBreak/>
        <w:t>zasady podlegania ubezpieczeniom społecznym (w systemie powszechnym i rolniczym);</w:t>
      </w:r>
    </w:p>
    <w:p w:rsidR="00A87C9C" w:rsidRPr="00157AD4" w:rsidRDefault="00A87C9C" w:rsidP="00157AD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składki na ubezpieczenia społeczne;</w:t>
      </w:r>
      <w:r w:rsidR="00157AD4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r w:rsidRPr="00157AD4">
        <w:rPr>
          <w:rFonts w:ascii="Times New Roman" w:eastAsia="Andale Sans UI" w:hAnsi="Times New Roman"/>
          <w:kern w:val="3"/>
          <w:sz w:val="24"/>
          <w:szCs w:val="24"/>
        </w:rPr>
        <w:t>zasady ustalania prawa do świadczeń z ubezpieczenia społecznego;</w:t>
      </w:r>
      <w:r w:rsidR="00157AD4">
        <w:rPr>
          <w:rFonts w:ascii="Times New Roman" w:eastAsia="Andale Sans UI" w:hAnsi="Times New Roman"/>
          <w:kern w:val="3"/>
          <w:sz w:val="24"/>
          <w:szCs w:val="24"/>
        </w:rPr>
        <w:t xml:space="preserve"> </w:t>
      </w:r>
      <w:bookmarkStart w:id="0" w:name="_GoBack"/>
      <w:bookmarkEnd w:id="0"/>
      <w:r w:rsidRPr="00157AD4">
        <w:rPr>
          <w:rFonts w:ascii="Times New Roman" w:eastAsia="Andale Sans UI" w:hAnsi="Times New Roman"/>
          <w:kern w:val="3"/>
          <w:sz w:val="24"/>
          <w:szCs w:val="24"/>
        </w:rPr>
        <w:t>zwrot świadczeń nienależnie pobranych;</w:t>
      </w:r>
    </w:p>
    <w:p w:rsidR="00A87C9C" w:rsidRPr="000D7A1C" w:rsidRDefault="00A87C9C" w:rsidP="000D7A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ubezpieczenie społeczne z tytułu choroby i macierzyństwa; zasiłek chorobowy, macierzyński, opiekuńczy i wyrównawczy;</w:t>
      </w:r>
    </w:p>
    <w:p w:rsidR="00A87C9C" w:rsidRPr="000D7A1C" w:rsidRDefault="00A87C9C" w:rsidP="000D7A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ubezpieczenie społeczne z tytułu wypadków przy pracy i chorób zawodowych; pojęcie wypadku przy pracy (analiza elementów definicji); świadczenia z tytułu wypadków przy pracy przysługujące od organu rentowego;</w:t>
      </w:r>
    </w:p>
    <w:p w:rsidR="00A87C9C" w:rsidRPr="000D7A1C" w:rsidRDefault="00A87C9C" w:rsidP="000D7A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Andale Sans UI" w:hAnsi="Times New Roman"/>
          <w:kern w:val="3"/>
          <w:sz w:val="24"/>
          <w:szCs w:val="24"/>
        </w:rPr>
      </w:pPr>
      <w:r w:rsidRPr="000D7A1C">
        <w:rPr>
          <w:rFonts w:ascii="Times New Roman" w:eastAsia="Andale Sans UI" w:hAnsi="Times New Roman"/>
          <w:kern w:val="3"/>
          <w:sz w:val="24"/>
          <w:szCs w:val="24"/>
        </w:rPr>
        <w:t>orzekanie o stopniu niepełnosprawności.</w:t>
      </w:r>
    </w:p>
    <w:p w:rsidR="000D7A1C" w:rsidRDefault="000D7A1C" w:rsidP="000D7A1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A87C9C" w:rsidRPr="000D7A1C" w:rsidRDefault="00A87C9C" w:rsidP="000D7A1C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Nadto patron praktyki oraz patron koordynator powinni zapewnić, aby w toku praktyki aplikanci zapoznali się z </w:t>
      </w:r>
      <w:r w:rsidRPr="000D7A1C">
        <w:rPr>
          <w:rFonts w:ascii="Times New Roman" w:hAnsi="Times New Roman"/>
          <w:b/>
          <w:sz w:val="24"/>
          <w:szCs w:val="24"/>
        </w:rPr>
        <w:t>zagadnieniami z zakresu prawa procesowego</w:t>
      </w:r>
      <w:r w:rsidRPr="000D7A1C">
        <w:rPr>
          <w:rFonts w:ascii="Times New Roman" w:hAnsi="Times New Roman"/>
          <w:sz w:val="24"/>
          <w:szCs w:val="24"/>
        </w:rPr>
        <w:t xml:space="preserve"> dotyczącymi istotnych odrębności postępowania w sprawach z ubezpieczeń społecznych, takimi jak:</w:t>
      </w:r>
    </w:p>
    <w:p w:rsidR="00A87C9C" w:rsidRPr="000D7A1C" w:rsidRDefault="00A87C9C" w:rsidP="000D7A1C">
      <w:pPr>
        <w:pStyle w:val="Akapitzlist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właściwość rzeczowa sądów rejonowych i sądów okręgowych w sprawach z zakresu ubezpieczeń społecznych;</w:t>
      </w:r>
    </w:p>
    <w:p w:rsidR="00A87C9C" w:rsidRPr="000D7A1C" w:rsidRDefault="00A87C9C" w:rsidP="000D7A1C">
      <w:pPr>
        <w:pStyle w:val="Akapitzlist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strony postępowania w sprawach z zakresu ubezpieczeń społecznych, pojęcie „zainteresowanego” (art. 477</w:t>
      </w:r>
      <w:r w:rsidRPr="000D7A1C">
        <w:rPr>
          <w:rFonts w:ascii="Times New Roman" w:hAnsi="Times New Roman"/>
          <w:sz w:val="24"/>
          <w:szCs w:val="24"/>
          <w:vertAlign w:val="superscript"/>
        </w:rPr>
        <w:t>11</w:t>
      </w:r>
      <w:r w:rsidRPr="000D7A1C">
        <w:rPr>
          <w:rFonts w:ascii="Times New Roman" w:hAnsi="Times New Roman"/>
          <w:sz w:val="24"/>
          <w:szCs w:val="24"/>
        </w:rPr>
        <w:t xml:space="preserve"> § 2 k.p.c.);</w:t>
      </w:r>
    </w:p>
    <w:p w:rsidR="00A87C9C" w:rsidRPr="000D7A1C" w:rsidRDefault="00A87C9C" w:rsidP="000D7A1C">
      <w:pPr>
        <w:pStyle w:val="Akapitzlist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zdolność sądowa organu rentowego oraz wojewódzkie</w:t>
      </w:r>
      <w:r w:rsidR="000D7A1C">
        <w:rPr>
          <w:rFonts w:ascii="Times New Roman" w:hAnsi="Times New Roman"/>
          <w:sz w:val="24"/>
          <w:szCs w:val="24"/>
        </w:rPr>
        <w:t>go zespołu do spraw orzekania o </w:t>
      </w:r>
      <w:r w:rsidRPr="000D7A1C">
        <w:rPr>
          <w:rFonts w:ascii="Times New Roman" w:hAnsi="Times New Roman"/>
          <w:sz w:val="24"/>
          <w:szCs w:val="24"/>
        </w:rPr>
        <w:t>niepełnosprawności;</w:t>
      </w:r>
    </w:p>
    <w:p w:rsidR="00A87C9C" w:rsidRPr="00157AD4" w:rsidRDefault="00A87C9C" w:rsidP="00157AD4">
      <w:pPr>
        <w:pStyle w:val="Akapitzlist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1C">
        <w:rPr>
          <w:rFonts w:ascii="Times New Roman" w:hAnsi="Times New Roman"/>
          <w:color w:val="000000" w:themeColor="text1"/>
          <w:sz w:val="24"/>
          <w:szCs w:val="24"/>
        </w:rPr>
        <w:t>wymogi formalne odwołania jako pisma wszczynającego postępowanie w sprawie;</w:t>
      </w:r>
      <w:r w:rsidR="00157A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>możliwość zwrotu akt sprawy organowi rentowemu (art. 467 § 4 k.p.c.) oraz możliwość skierowania odwołania od decyzji organu rentowego do lekarza orzecznika ZUS do ponownego rozpatrzenia (art. 477</w:t>
      </w:r>
      <w:r w:rsidRPr="00157AD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9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 xml:space="preserve"> § 2</w:t>
      </w:r>
      <w:r w:rsidRPr="00157AD4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1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 xml:space="preserve"> k.p.c.); </w:t>
      </w:r>
    </w:p>
    <w:p w:rsidR="00A87C9C" w:rsidRPr="00157AD4" w:rsidRDefault="00A87C9C" w:rsidP="00157AD4">
      <w:pPr>
        <w:pStyle w:val="Akapitzlist"/>
        <w:widowControl w:val="0"/>
        <w:numPr>
          <w:ilvl w:val="0"/>
          <w:numId w:val="32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D7A1C">
        <w:rPr>
          <w:rFonts w:ascii="Times New Roman" w:hAnsi="Times New Roman"/>
          <w:color w:val="000000" w:themeColor="text1"/>
          <w:sz w:val="24"/>
          <w:szCs w:val="24"/>
        </w:rPr>
        <w:t>rodzaje orzeczeń, jakie może wydać sąd ubezpieczeń społecznych;</w:t>
      </w:r>
      <w:r w:rsidR="00157A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7AD4">
        <w:rPr>
          <w:rFonts w:ascii="Times New Roman" w:hAnsi="Times New Roman"/>
          <w:color w:val="000000" w:themeColor="text1"/>
          <w:sz w:val="24"/>
          <w:szCs w:val="24"/>
        </w:rPr>
        <w:t>niedopuszczalność ugody.</w:t>
      </w:r>
    </w:p>
    <w:p w:rsidR="000D7A1C" w:rsidRDefault="000D7A1C" w:rsidP="000D7A1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C9C" w:rsidRPr="000D7A1C" w:rsidRDefault="00A87C9C" w:rsidP="000D7A1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Szczególną uwagę należy poświęcić praktycznym zagadnieniom związanym </w:t>
      </w:r>
      <w:r w:rsidRPr="000D7A1C">
        <w:rPr>
          <w:rFonts w:ascii="Times New Roman" w:hAnsi="Times New Roman"/>
          <w:b/>
          <w:sz w:val="24"/>
          <w:szCs w:val="24"/>
        </w:rPr>
        <w:t>z analizą i oceną dokumentów</w:t>
      </w:r>
      <w:r w:rsidRPr="000D7A1C">
        <w:rPr>
          <w:rFonts w:ascii="Times New Roman" w:hAnsi="Times New Roman"/>
          <w:sz w:val="24"/>
          <w:szCs w:val="24"/>
        </w:rPr>
        <w:t xml:space="preserve"> znajdujących się w aktach organu rentowego oraz decyzji tego organu, jak również wymogów formalnych odwołania od decyzji – tak aby aplikanci nabyli umiejętność podejmowania trafnych decyzji procesowych dotyczących </w:t>
      </w:r>
      <w:r w:rsidR="000D7A1C">
        <w:rPr>
          <w:rFonts w:ascii="Times New Roman" w:hAnsi="Times New Roman"/>
          <w:sz w:val="24"/>
          <w:szCs w:val="24"/>
        </w:rPr>
        <w:t>sposobu dalszego procedowania w </w:t>
      </w:r>
      <w:r w:rsidRPr="000D7A1C">
        <w:rPr>
          <w:rFonts w:ascii="Times New Roman" w:hAnsi="Times New Roman"/>
          <w:sz w:val="24"/>
          <w:szCs w:val="24"/>
        </w:rPr>
        <w:t>sprawie (odrzucenie odwołania z powodu wniesienia go po terminie albo z przyczyn, o</w:t>
      </w:r>
      <w:r w:rsidR="000D7A1C">
        <w:rPr>
          <w:rFonts w:ascii="Times New Roman" w:hAnsi="Times New Roman"/>
          <w:sz w:val="24"/>
          <w:szCs w:val="24"/>
        </w:rPr>
        <w:t> </w:t>
      </w:r>
      <w:r w:rsidRPr="000D7A1C">
        <w:rPr>
          <w:rFonts w:ascii="Times New Roman" w:hAnsi="Times New Roman"/>
          <w:sz w:val="24"/>
          <w:szCs w:val="24"/>
        </w:rPr>
        <w:t>których mowa w art. 477</w:t>
      </w:r>
      <w:r w:rsidRPr="000D7A1C">
        <w:rPr>
          <w:rFonts w:ascii="Times New Roman" w:hAnsi="Times New Roman"/>
          <w:sz w:val="24"/>
          <w:szCs w:val="24"/>
          <w:vertAlign w:val="superscript"/>
        </w:rPr>
        <w:t>9</w:t>
      </w:r>
      <w:r w:rsidRPr="000D7A1C">
        <w:rPr>
          <w:rFonts w:ascii="Times New Roman" w:hAnsi="Times New Roman"/>
          <w:sz w:val="24"/>
          <w:szCs w:val="24"/>
        </w:rPr>
        <w:t xml:space="preserve"> § 3</w:t>
      </w:r>
      <w:r w:rsidRPr="000D7A1C">
        <w:rPr>
          <w:rFonts w:ascii="Times New Roman" w:hAnsi="Times New Roman"/>
          <w:sz w:val="24"/>
          <w:szCs w:val="24"/>
          <w:vertAlign w:val="superscript"/>
        </w:rPr>
        <w:t>1</w:t>
      </w:r>
      <w:r w:rsidRPr="000D7A1C">
        <w:rPr>
          <w:rFonts w:ascii="Times New Roman" w:hAnsi="Times New Roman"/>
          <w:sz w:val="24"/>
          <w:szCs w:val="24"/>
        </w:rPr>
        <w:t xml:space="preserve"> k.p.c., zwrot akt sprawy organowi rentowemu, skierowanie sprawy do lekarza orzecznika ZUS, przekazanie sprawy właściwemu organowi, skierowanie sprawy na rozprawę). </w:t>
      </w:r>
    </w:p>
    <w:p w:rsidR="00A87C9C" w:rsidRDefault="00A87C9C" w:rsidP="000D7A1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lastRenderedPageBreak/>
        <w:t xml:space="preserve">Ponadto aplikanci powinni zapoznać się z kwestią </w:t>
      </w:r>
      <w:r w:rsidRPr="000D7A1C">
        <w:rPr>
          <w:rFonts w:ascii="Times New Roman" w:hAnsi="Times New Roman"/>
          <w:b/>
          <w:sz w:val="24"/>
          <w:szCs w:val="24"/>
        </w:rPr>
        <w:t>prawidłowego redagowania postanowień dowodowych</w:t>
      </w:r>
      <w:r w:rsidRPr="000D7A1C">
        <w:rPr>
          <w:rFonts w:ascii="Times New Roman" w:hAnsi="Times New Roman"/>
          <w:sz w:val="24"/>
          <w:szCs w:val="24"/>
        </w:rPr>
        <w:t>, w tym zwłaszcza postanowienia o dopuszczeniu dowodu z opinii biegłego/biegłych lekarzy (np. na okoliczność ustalenia procentowego stopnia stałego lub długotrwałego uszczerbku na zdrowiu, całkowitej lub czę</w:t>
      </w:r>
      <w:r w:rsidR="000D7A1C">
        <w:rPr>
          <w:rFonts w:ascii="Times New Roman" w:hAnsi="Times New Roman"/>
          <w:sz w:val="24"/>
          <w:szCs w:val="24"/>
        </w:rPr>
        <w:t>ściowej niezdolności do pracy w </w:t>
      </w:r>
      <w:r w:rsidRPr="000D7A1C">
        <w:rPr>
          <w:rFonts w:ascii="Times New Roman" w:hAnsi="Times New Roman"/>
          <w:sz w:val="24"/>
          <w:szCs w:val="24"/>
        </w:rPr>
        <w:t xml:space="preserve">sprawie o świadczenie rehabilitacyjne), jak również </w:t>
      </w:r>
      <w:r w:rsidRPr="000D7A1C">
        <w:rPr>
          <w:rFonts w:ascii="Times New Roman" w:hAnsi="Times New Roman"/>
          <w:b/>
          <w:sz w:val="24"/>
          <w:szCs w:val="24"/>
        </w:rPr>
        <w:t>formułowania sentencji merytorycznych orzeczeń</w:t>
      </w:r>
      <w:r w:rsidRPr="000D7A1C">
        <w:rPr>
          <w:rFonts w:ascii="Times New Roman" w:hAnsi="Times New Roman"/>
          <w:sz w:val="24"/>
          <w:szCs w:val="24"/>
        </w:rPr>
        <w:t xml:space="preserve"> kończących postępowanie w sprawie. </w:t>
      </w:r>
    </w:p>
    <w:p w:rsidR="008037DC" w:rsidRPr="000D7A1C" w:rsidRDefault="008037DC" w:rsidP="000D7A1C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C9C" w:rsidRPr="000D7A1C" w:rsidRDefault="00A87C9C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Zaleca się, aby aplikanci w trakcie praktyki zapoznawa</w:t>
      </w:r>
      <w:r w:rsidR="008037DC">
        <w:rPr>
          <w:rFonts w:ascii="Times New Roman" w:hAnsi="Times New Roman"/>
          <w:sz w:val="24"/>
          <w:szCs w:val="24"/>
        </w:rPr>
        <w:t>li się z konkretnymi sprawami z </w:t>
      </w:r>
      <w:r w:rsidRPr="000D7A1C">
        <w:rPr>
          <w:rFonts w:ascii="Times New Roman" w:hAnsi="Times New Roman"/>
          <w:sz w:val="24"/>
          <w:szCs w:val="24"/>
        </w:rPr>
        <w:t xml:space="preserve">zakresu ubezpieczeń społecznych, </w:t>
      </w:r>
      <w:r w:rsidRPr="000D7A1C">
        <w:rPr>
          <w:rFonts w:ascii="Times New Roman" w:hAnsi="Times New Roman"/>
          <w:b/>
          <w:sz w:val="24"/>
          <w:szCs w:val="24"/>
        </w:rPr>
        <w:t>uczestniczyli w posiedzeniach i rozprawach</w:t>
      </w:r>
      <w:r w:rsidRPr="000D7A1C">
        <w:rPr>
          <w:rFonts w:ascii="Times New Roman" w:hAnsi="Times New Roman"/>
          <w:sz w:val="24"/>
          <w:szCs w:val="24"/>
        </w:rPr>
        <w:t>, na których te sprawy są rozpoznawane oraz aby powierzano im jak największą liczbę czynności, które pomogą utrwalić im w praktyce zdobytą podczas zajęć seminaryjnych wiedzę teoretyczną. Szczególny jednak nacisk należy położyć na to, aby podczas</w:t>
      </w:r>
      <w:r w:rsidR="000D7A1C">
        <w:rPr>
          <w:rFonts w:ascii="Times New Roman" w:hAnsi="Times New Roman"/>
          <w:sz w:val="24"/>
          <w:szCs w:val="24"/>
        </w:rPr>
        <w:t xml:space="preserve"> praktyki aplikanci opanowali w </w:t>
      </w:r>
      <w:r w:rsidRPr="000D7A1C">
        <w:rPr>
          <w:rFonts w:ascii="Times New Roman" w:hAnsi="Times New Roman"/>
          <w:sz w:val="24"/>
          <w:szCs w:val="24"/>
        </w:rPr>
        <w:t>możliwie najwyższym stopniu umiejętność samodzielnego opracowywania projektów orzeczeń kończących postępowanie w tego rodzaju sprawach, wraz z uzasadnieniem.</w:t>
      </w:r>
    </w:p>
    <w:p w:rsidR="000D7A1C" w:rsidRDefault="000D7A1C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C9C" w:rsidRPr="000D7A1C" w:rsidRDefault="00A87C9C" w:rsidP="000D7A1C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Ponadto informuję, że przedmiotem </w:t>
      </w:r>
      <w:r w:rsidRPr="000D7A1C">
        <w:rPr>
          <w:rFonts w:ascii="Times New Roman" w:hAnsi="Times New Roman"/>
          <w:b/>
          <w:sz w:val="24"/>
          <w:szCs w:val="24"/>
        </w:rPr>
        <w:t>sprawdzianu</w:t>
      </w:r>
      <w:r w:rsidRPr="000D7A1C">
        <w:rPr>
          <w:rFonts w:ascii="Times New Roman" w:hAnsi="Times New Roman"/>
          <w:sz w:val="24"/>
          <w:szCs w:val="24"/>
        </w:rPr>
        <w:t xml:space="preserve">, który aplikanci będą pisać po zakończeniu  praktyki - 20 września 2021 r., będzie sporządzenie - na podstawie spreparowanych akt - </w:t>
      </w:r>
      <w:r w:rsidRPr="008037DC">
        <w:rPr>
          <w:rFonts w:ascii="Times New Roman" w:hAnsi="Times New Roman"/>
          <w:b/>
          <w:sz w:val="24"/>
          <w:szCs w:val="24"/>
        </w:rPr>
        <w:t>projektu</w:t>
      </w:r>
      <w:r w:rsidRPr="000D7A1C">
        <w:rPr>
          <w:rFonts w:ascii="Times New Roman" w:hAnsi="Times New Roman"/>
          <w:sz w:val="24"/>
          <w:szCs w:val="24"/>
        </w:rPr>
        <w:t xml:space="preserve"> </w:t>
      </w:r>
      <w:r w:rsidRPr="000D7A1C">
        <w:rPr>
          <w:rFonts w:ascii="Times New Roman" w:hAnsi="Times New Roman"/>
          <w:b/>
          <w:sz w:val="24"/>
          <w:szCs w:val="24"/>
        </w:rPr>
        <w:t>wyroku z uzasadnieniem w sprawie o zasiłek chorobowy</w:t>
      </w:r>
      <w:r w:rsidRPr="000D7A1C">
        <w:rPr>
          <w:rFonts w:ascii="Times New Roman" w:hAnsi="Times New Roman"/>
          <w:sz w:val="24"/>
          <w:szCs w:val="24"/>
        </w:rPr>
        <w:t xml:space="preserve">, stąd koniecznym jest zwrócenie szczególnej uwagi na nabycie przez aplikantów umiejętności samodzielnego opracowywania projektów orzeczeń wraz z uzasadnieniem w tego rodzaju sprawach. </w:t>
      </w:r>
    </w:p>
    <w:p w:rsidR="000D7A1C" w:rsidRDefault="000D7A1C" w:rsidP="000D7A1C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3B0F" w:rsidRPr="000D7A1C" w:rsidRDefault="00123B0F" w:rsidP="000D7A1C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7A1C">
        <w:rPr>
          <w:rFonts w:ascii="Times New Roman" w:hAnsi="Times New Roman"/>
          <w:b/>
          <w:sz w:val="24"/>
          <w:szCs w:val="24"/>
          <w:u w:val="single"/>
        </w:rPr>
        <w:t>Czynności, które powinny zostać zlecone aplikantowi w trakcie praktyki (czynności obowiązkowe)</w:t>
      </w:r>
    </w:p>
    <w:p w:rsidR="00123B0F" w:rsidRPr="000D7A1C" w:rsidRDefault="00123B0F" w:rsidP="000D7A1C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123B0F" w:rsidRPr="000D7A1C" w:rsidRDefault="00123B0F" w:rsidP="000D7A1C">
      <w:pPr>
        <w:pStyle w:val="Akapitzlist"/>
        <w:spacing w:after="0" w:line="36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b/>
          <w:sz w:val="24"/>
          <w:szCs w:val="24"/>
        </w:rPr>
        <w:t>Należy zlecić aplikantowi sporządzenie:</w:t>
      </w:r>
    </w:p>
    <w:p w:rsidR="00A87C9C" w:rsidRPr="000D7A1C" w:rsidRDefault="00A87C9C" w:rsidP="000D7A1C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projektów </w:t>
      </w:r>
      <w:r w:rsidR="00157AD4">
        <w:rPr>
          <w:rFonts w:ascii="Times New Roman" w:hAnsi="Times New Roman"/>
          <w:sz w:val="24"/>
          <w:szCs w:val="24"/>
        </w:rPr>
        <w:t>co najmniej jednego projektu orzeczenia</w:t>
      </w:r>
      <w:r w:rsidRPr="000D7A1C">
        <w:rPr>
          <w:rFonts w:ascii="Times New Roman" w:hAnsi="Times New Roman"/>
          <w:sz w:val="24"/>
          <w:szCs w:val="24"/>
        </w:rPr>
        <w:t xml:space="preserve"> wraz z uzasadnieniami </w:t>
      </w:r>
      <w:r w:rsidR="00157AD4">
        <w:rPr>
          <w:rFonts w:ascii="Times New Roman" w:hAnsi="Times New Roman"/>
          <w:sz w:val="24"/>
          <w:szCs w:val="24"/>
        </w:rPr>
        <w:t>i zarządzeniami w sprawie</w:t>
      </w:r>
      <w:r w:rsidRPr="000D7A1C">
        <w:rPr>
          <w:rFonts w:ascii="Times New Roman" w:hAnsi="Times New Roman"/>
          <w:sz w:val="24"/>
          <w:szCs w:val="24"/>
        </w:rPr>
        <w:t>:</w:t>
      </w:r>
    </w:p>
    <w:p w:rsidR="00A87C9C" w:rsidRPr="000D7A1C" w:rsidRDefault="00A87C9C" w:rsidP="000D7A1C">
      <w:pPr>
        <w:pStyle w:val="Teksttreci60"/>
        <w:numPr>
          <w:ilvl w:val="0"/>
          <w:numId w:val="36"/>
        </w:numPr>
        <w:shd w:val="clear" w:color="auto" w:fill="auto"/>
        <w:tabs>
          <w:tab w:val="left" w:leader="dot" w:pos="381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0D7A1C">
        <w:rPr>
          <w:sz w:val="24"/>
          <w:szCs w:val="24"/>
        </w:rPr>
        <w:t xml:space="preserve">o </w:t>
      </w:r>
      <w:r w:rsidRPr="000D7A1C">
        <w:rPr>
          <w:color w:val="000000" w:themeColor="text1"/>
          <w:sz w:val="24"/>
          <w:szCs w:val="24"/>
        </w:rPr>
        <w:t>zasiłek chorobowy</w:t>
      </w:r>
      <w:r w:rsidRPr="000D7A1C">
        <w:rPr>
          <w:sz w:val="24"/>
          <w:szCs w:val="24"/>
        </w:rPr>
        <w:t>,</w:t>
      </w:r>
    </w:p>
    <w:p w:rsidR="00A87C9C" w:rsidRPr="000D7A1C" w:rsidRDefault="000D7A1C" w:rsidP="000D7A1C">
      <w:pPr>
        <w:pStyle w:val="Teksttreci60"/>
        <w:numPr>
          <w:ilvl w:val="0"/>
          <w:numId w:val="36"/>
        </w:numPr>
        <w:shd w:val="clear" w:color="auto" w:fill="auto"/>
        <w:tabs>
          <w:tab w:val="left" w:leader="dot" w:pos="3810"/>
        </w:tabs>
        <w:spacing w:line="360" w:lineRule="auto"/>
        <w:ind w:left="1134" w:hanging="283"/>
        <w:jc w:val="both"/>
        <w:rPr>
          <w:sz w:val="24"/>
          <w:szCs w:val="24"/>
        </w:rPr>
      </w:pPr>
      <w:r w:rsidRPr="000D7A1C">
        <w:rPr>
          <w:sz w:val="24"/>
          <w:szCs w:val="24"/>
        </w:rPr>
        <w:t xml:space="preserve">o </w:t>
      </w:r>
      <w:r w:rsidR="00A87C9C" w:rsidRPr="000D7A1C">
        <w:rPr>
          <w:sz w:val="24"/>
          <w:szCs w:val="24"/>
        </w:rPr>
        <w:t>zwrot wypłaconego świadczenia z ubezpieczenia społecznego,</w:t>
      </w:r>
    </w:p>
    <w:p w:rsidR="00123B0F" w:rsidRPr="000D7A1C" w:rsidRDefault="00A87C9C" w:rsidP="000D7A1C">
      <w:pPr>
        <w:pStyle w:val="Akapitzlist"/>
        <w:numPr>
          <w:ilvl w:val="0"/>
          <w:numId w:val="36"/>
        </w:numPr>
        <w:spacing w:after="0" w:line="36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o jednorazowe odszkodowanie z tytułu wypadku p</w:t>
      </w:r>
      <w:r w:rsidR="00157AD4">
        <w:rPr>
          <w:rFonts w:ascii="Times New Roman" w:hAnsi="Times New Roman"/>
          <w:sz w:val="24"/>
          <w:szCs w:val="24"/>
        </w:rPr>
        <w:t>rzy pracy lub choroby zawodowej;</w:t>
      </w:r>
    </w:p>
    <w:p w:rsidR="00A87C9C" w:rsidRPr="000D7A1C" w:rsidRDefault="00157AD4" w:rsidP="000D7A1C">
      <w:pPr>
        <w:pStyle w:val="Akapitzlist"/>
        <w:numPr>
          <w:ilvl w:val="0"/>
          <w:numId w:val="35"/>
        </w:numPr>
        <w:spacing w:after="0" w:line="36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 najmniej dwóch</w:t>
      </w:r>
      <w:r w:rsidR="000D7A1C">
        <w:rPr>
          <w:rFonts w:ascii="Times New Roman" w:hAnsi="Times New Roman"/>
          <w:sz w:val="24"/>
          <w:szCs w:val="24"/>
        </w:rPr>
        <w:t xml:space="preserve"> </w:t>
      </w:r>
      <w:r w:rsidR="00A87C9C" w:rsidRPr="000D7A1C">
        <w:rPr>
          <w:rFonts w:ascii="Times New Roman" w:hAnsi="Times New Roman"/>
          <w:sz w:val="24"/>
          <w:szCs w:val="24"/>
        </w:rPr>
        <w:t>projektów postanowień o dopuszczeniu dowodu z opinii biegłego/biegłych lekarzy oraz zlecenia dla biegłego/biegłych</w:t>
      </w:r>
      <w:r w:rsidR="000D7A1C" w:rsidRPr="000D7A1C">
        <w:rPr>
          <w:rFonts w:ascii="Times New Roman" w:hAnsi="Times New Roman"/>
          <w:sz w:val="24"/>
          <w:szCs w:val="24"/>
        </w:rPr>
        <w:t>.</w:t>
      </w:r>
    </w:p>
    <w:p w:rsidR="00123B0F" w:rsidRPr="000D7A1C" w:rsidRDefault="00123B0F" w:rsidP="000D7A1C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40"/>
        <w:jc w:val="both"/>
        <w:rPr>
          <w:sz w:val="24"/>
          <w:szCs w:val="24"/>
        </w:rPr>
      </w:pPr>
    </w:p>
    <w:p w:rsidR="007B4CA7" w:rsidRPr="000D7A1C" w:rsidRDefault="007B4CA7" w:rsidP="000D7A1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 xml:space="preserve">Uprzejmie przypominam, że przed rozpoczęciem praktyki patron praktyki ma obowiązek </w:t>
      </w:r>
      <w:r w:rsidRPr="000D7A1C">
        <w:rPr>
          <w:rFonts w:ascii="Times New Roman" w:hAnsi="Times New Roman"/>
          <w:b/>
          <w:sz w:val="24"/>
          <w:szCs w:val="24"/>
        </w:rPr>
        <w:t xml:space="preserve">omówić z aplikantem </w:t>
      </w:r>
      <w:r w:rsidRPr="000D7A1C">
        <w:rPr>
          <w:rFonts w:ascii="Times New Roman" w:hAnsi="Times New Roman"/>
          <w:sz w:val="24"/>
          <w:szCs w:val="24"/>
        </w:rPr>
        <w:t xml:space="preserve">cel, szczegółowy zakres tematyczny praktyki i jej planowany przebieg oraz zapoznać aplikanta ze swoim stanowiskiem pracy i strukturą organizacyjną jednostki, w której jest zatrudniony. </w:t>
      </w:r>
    </w:p>
    <w:p w:rsidR="007B4CA7" w:rsidRPr="000D7A1C" w:rsidRDefault="007B4CA7" w:rsidP="000D7A1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D7A1C">
        <w:rPr>
          <w:rFonts w:ascii="Times New Roman" w:hAnsi="Times New Roman"/>
          <w:b/>
          <w:sz w:val="24"/>
          <w:szCs w:val="24"/>
        </w:rPr>
        <w:t>Po wykonaniu czynności przez aplikanta należy szczegółowo omówić z nim rezultaty jego pracy, w tym ewentualne uchybienia.</w:t>
      </w:r>
    </w:p>
    <w:p w:rsidR="007B4CA7" w:rsidRPr="000D7A1C" w:rsidRDefault="007B4CA7" w:rsidP="000D7A1C">
      <w:pPr>
        <w:pStyle w:val="Teksttreci60"/>
        <w:shd w:val="clear" w:color="auto" w:fill="auto"/>
        <w:tabs>
          <w:tab w:val="left" w:leader="dot" w:pos="3810"/>
        </w:tabs>
        <w:spacing w:line="360" w:lineRule="auto"/>
        <w:ind w:left="440"/>
        <w:jc w:val="both"/>
        <w:rPr>
          <w:sz w:val="24"/>
          <w:szCs w:val="24"/>
        </w:rPr>
      </w:pPr>
    </w:p>
    <w:p w:rsidR="00123B0F" w:rsidRPr="000D7A1C" w:rsidRDefault="00123B0F" w:rsidP="000D7A1C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23B0F" w:rsidRPr="000D7A1C" w:rsidRDefault="00123B0F" w:rsidP="000D7A1C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31F5C" w:rsidRPr="000D7A1C" w:rsidRDefault="00531F5C" w:rsidP="000D7A1C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Kierownik Działu Dydaktycznego OAS</w:t>
      </w:r>
    </w:p>
    <w:p w:rsidR="00531F5C" w:rsidRPr="000D7A1C" w:rsidRDefault="002D4BA9" w:rsidP="000D7A1C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dr Mariusz Kucharczyk</w:t>
      </w:r>
    </w:p>
    <w:p w:rsidR="00775A12" w:rsidRPr="000D7A1C" w:rsidRDefault="00531F5C" w:rsidP="000D7A1C">
      <w:pPr>
        <w:spacing w:after="0" w:line="360" w:lineRule="auto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0D7A1C">
        <w:rPr>
          <w:rFonts w:ascii="Times New Roman" w:hAnsi="Times New Roman"/>
          <w:sz w:val="24"/>
          <w:szCs w:val="24"/>
        </w:rPr>
        <w:t>sędzia</w:t>
      </w:r>
    </w:p>
    <w:sectPr w:rsidR="00775A12" w:rsidRPr="000D7A1C" w:rsidSect="000B00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12" w:rsidRDefault="00565512" w:rsidP="00AA67CD">
      <w:pPr>
        <w:spacing w:after="0" w:line="240" w:lineRule="auto"/>
      </w:pPr>
      <w:r>
        <w:separator/>
      </w:r>
    </w:p>
  </w:endnote>
  <w:endnote w:type="continuationSeparator" w:id="0">
    <w:p w:rsidR="00565512" w:rsidRDefault="00565512" w:rsidP="00AA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12" w:rsidRDefault="00565512" w:rsidP="00AA67CD">
      <w:pPr>
        <w:spacing w:after="0" w:line="240" w:lineRule="auto"/>
      </w:pPr>
      <w:r>
        <w:separator/>
      </w:r>
    </w:p>
  </w:footnote>
  <w:footnote w:type="continuationSeparator" w:id="0">
    <w:p w:rsidR="00565512" w:rsidRDefault="00565512" w:rsidP="00AA6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28" w:rsidRDefault="001F7B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C200F5E0"/>
    <w:lvl w:ilvl="0" w:tplc="2904CDA2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4804C89"/>
    <w:multiLevelType w:val="hybridMultilevel"/>
    <w:tmpl w:val="CE0C4146"/>
    <w:lvl w:ilvl="0" w:tplc="AFDC2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FC6E1E"/>
    <w:multiLevelType w:val="hybridMultilevel"/>
    <w:tmpl w:val="CF78CD20"/>
    <w:lvl w:ilvl="0" w:tplc="E568599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5762C"/>
    <w:multiLevelType w:val="hybridMultilevel"/>
    <w:tmpl w:val="08725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F36ECA"/>
    <w:multiLevelType w:val="hybridMultilevel"/>
    <w:tmpl w:val="17E40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1A3172"/>
    <w:multiLevelType w:val="hybridMultilevel"/>
    <w:tmpl w:val="D6ECD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F1620"/>
    <w:multiLevelType w:val="hybridMultilevel"/>
    <w:tmpl w:val="F6D26818"/>
    <w:lvl w:ilvl="0" w:tplc="2DF09C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11AD1"/>
    <w:multiLevelType w:val="hybridMultilevel"/>
    <w:tmpl w:val="EE04C3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E01D9"/>
    <w:multiLevelType w:val="hybridMultilevel"/>
    <w:tmpl w:val="A836B0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23B8E"/>
    <w:multiLevelType w:val="hybridMultilevel"/>
    <w:tmpl w:val="D48EE00E"/>
    <w:lvl w:ilvl="0" w:tplc="356CC90E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1">
    <w:nsid w:val="21BD0968"/>
    <w:multiLevelType w:val="hybridMultilevel"/>
    <w:tmpl w:val="BDEECD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B4A04BE">
      <w:start w:val="1"/>
      <w:numFmt w:val="lowerLetter"/>
      <w:lvlText w:val="%2."/>
      <w:lvlJc w:val="left"/>
      <w:pPr>
        <w:ind w:left="502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F3B21"/>
    <w:multiLevelType w:val="hybridMultilevel"/>
    <w:tmpl w:val="8B8E6738"/>
    <w:lvl w:ilvl="0" w:tplc="2C6EFFA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D025B0"/>
    <w:multiLevelType w:val="hybridMultilevel"/>
    <w:tmpl w:val="D144A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C7B0E"/>
    <w:multiLevelType w:val="hybridMultilevel"/>
    <w:tmpl w:val="6290AD9A"/>
    <w:lvl w:ilvl="0" w:tplc="58B69FE6">
      <w:start w:val="1"/>
      <w:numFmt w:val="upperLetter"/>
      <w:lvlText w:val="%1)"/>
      <w:lvlJc w:val="left"/>
      <w:pPr>
        <w:ind w:left="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58B69FE6">
      <w:start w:val="1"/>
      <w:numFmt w:val="upperLetter"/>
      <w:lvlText w:val="%3)"/>
      <w:lvlJc w:val="left"/>
      <w:pPr>
        <w:ind w:left="14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31E5533F"/>
    <w:multiLevelType w:val="hybridMultilevel"/>
    <w:tmpl w:val="900A7CDC"/>
    <w:lvl w:ilvl="0" w:tplc="67DE0A92">
      <w:start w:val="1"/>
      <w:numFmt w:val="lowerLetter"/>
      <w:lvlText w:val="%1)"/>
      <w:lvlJc w:val="left"/>
      <w:pPr>
        <w:ind w:left="44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6">
    <w:nsid w:val="32117E3D"/>
    <w:multiLevelType w:val="hybridMultilevel"/>
    <w:tmpl w:val="030E978E"/>
    <w:lvl w:ilvl="0" w:tplc="A6FCBD9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27783"/>
    <w:multiLevelType w:val="hybridMultilevel"/>
    <w:tmpl w:val="1DB88E6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2767D"/>
    <w:multiLevelType w:val="hybridMultilevel"/>
    <w:tmpl w:val="B5C48FA4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C217989"/>
    <w:multiLevelType w:val="hybridMultilevel"/>
    <w:tmpl w:val="0F70B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6E3854"/>
    <w:multiLevelType w:val="hybridMultilevel"/>
    <w:tmpl w:val="46DE1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C575DF0"/>
    <w:multiLevelType w:val="hybridMultilevel"/>
    <w:tmpl w:val="C3AC15A6"/>
    <w:lvl w:ilvl="0" w:tplc="4490DE5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C286D"/>
    <w:multiLevelType w:val="hybridMultilevel"/>
    <w:tmpl w:val="F79010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B37FF"/>
    <w:multiLevelType w:val="hybridMultilevel"/>
    <w:tmpl w:val="ECCA9DF6"/>
    <w:lvl w:ilvl="0" w:tplc="356CC9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FC67EB"/>
    <w:multiLevelType w:val="hybridMultilevel"/>
    <w:tmpl w:val="69AC5C3C"/>
    <w:lvl w:ilvl="0" w:tplc="E30E20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96231"/>
    <w:multiLevelType w:val="hybridMultilevel"/>
    <w:tmpl w:val="809417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21E34C1"/>
    <w:multiLevelType w:val="hybridMultilevel"/>
    <w:tmpl w:val="4C7E00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150E70"/>
    <w:multiLevelType w:val="hybridMultilevel"/>
    <w:tmpl w:val="3B6E4618"/>
    <w:lvl w:ilvl="0" w:tplc="954606CC">
      <w:start w:val="1"/>
      <w:numFmt w:val="decimal"/>
      <w:lvlText w:val="%1)"/>
      <w:lvlJc w:val="left"/>
      <w:pPr>
        <w:ind w:left="1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1">
    <w:nsid w:val="746D49A0"/>
    <w:multiLevelType w:val="hybridMultilevel"/>
    <w:tmpl w:val="77FED186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AF364C"/>
    <w:multiLevelType w:val="hybridMultilevel"/>
    <w:tmpl w:val="2D78DCA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3">
    <w:nsid w:val="7FB10509"/>
    <w:multiLevelType w:val="hybridMultilevel"/>
    <w:tmpl w:val="AA3E875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28"/>
  </w:num>
  <w:num w:numId="5">
    <w:abstractNumId w:val="31"/>
  </w:num>
  <w:num w:numId="6">
    <w:abstractNumId w:val="14"/>
  </w:num>
  <w:num w:numId="7">
    <w:abstractNumId w:val="29"/>
  </w:num>
  <w:num w:numId="8">
    <w:abstractNumId w:val="19"/>
  </w:num>
  <w:num w:numId="9">
    <w:abstractNumId w:val="13"/>
  </w:num>
  <w:num w:numId="10">
    <w:abstractNumId w:val="33"/>
  </w:num>
  <w:num w:numId="11">
    <w:abstractNumId w:val="10"/>
  </w:num>
  <w:num w:numId="12">
    <w:abstractNumId w:val="18"/>
  </w:num>
  <w:num w:numId="13">
    <w:abstractNumId w:val="21"/>
  </w:num>
  <w:num w:numId="14">
    <w:abstractNumId w:val="26"/>
  </w:num>
  <w:num w:numId="15">
    <w:abstractNumId w:val="5"/>
  </w:num>
  <w:num w:numId="16">
    <w:abstractNumId w:val="22"/>
  </w:num>
  <w:num w:numId="17">
    <w:abstractNumId w:val="17"/>
  </w:num>
  <w:num w:numId="18">
    <w:abstractNumId w:val="8"/>
  </w:num>
  <w:num w:numId="19">
    <w:abstractNumId w:val="23"/>
  </w:num>
  <w:num w:numId="20">
    <w:abstractNumId w:val="9"/>
  </w:num>
  <w:num w:numId="21">
    <w:abstractNumId w:val="27"/>
  </w:num>
  <w:num w:numId="22">
    <w:abstractNumId w:val="6"/>
  </w:num>
  <w:num w:numId="23">
    <w:abstractNumId w:val="4"/>
  </w:num>
  <w:num w:numId="24">
    <w:abstractNumId w:val="24"/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2"/>
  </w:num>
  <w:num w:numId="30">
    <w:abstractNumId w:val="7"/>
  </w:num>
  <w:num w:numId="31">
    <w:abstractNumId w:val="0"/>
  </w:num>
  <w:num w:numId="32">
    <w:abstractNumId w:val="1"/>
  </w:num>
  <w:num w:numId="33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3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005CF"/>
    <w:rsid w:val="0002122F"/>
    <w:rsid w:val="00040054"/>
    <w:rsid w:val="0008304C"/>
    <w:rsid w:val="00085E89"/>
    <w:rsid w:val="000B00E7"/>
    <w:rsid w:val="000D378A"/>
    <w:rsid w:val="000D7A1C"/>
    <w:rsid w:val="00123B0F"/>
    <w:rsid w:val="00142C14"/>
    <w:rsid w:val="00157AD4"/>
    <w:rsid w:val="001810FD"/>
    <w:rsid w:val="00195D0B"/>
    <w:rsid w:val="001C5C56"/>
    <w:rsid w:val="001D5E58"/>
    <w:rsid w:val="001E5109"/>
    <w:rsid w:val="001F7981"/>
    <w:rsid w:val="001F7B28"/>
    <w:rsid w:val="00225EE4"/>
    <w:rsid w:val="002519D5"/>
    <w:rsid w:val="002966E0"/>
    <w:rsid w:val="002A77D9"/>
    <w:rsid w:val="002B243B"/>
    <w:rsid w:val="002D4BA9"/>
    <w:rsid w:val="002F29BC"/>
    <w:rsid w:val="0030232A"/>
    <w:rsid w:val="00320FA7"/>
    <w:rsid w:val="00323537"/>
    <w:rsid w:val="00417D3D"/>
    <w:rsid w:val="00476E44"/>
    <w:rsid w:val="00485B99"/>
    <w:rsid w:val="0049107A"/>
    <w:rsid w:val="004C2C39"/>
    <w:rsid w:val="00523DB5"/>
    <w:rsid w:val="00527FFC"/>
    <w:rsid w:val="005316FA"/>
    <w:rsid w:val="00531F5C"/>
    <w:rsid w:val="00534FC5"/>
    <w:rsid w:val="0054586E"/>
    <w:rsid w:val="00565512"/>
    <w:rsid w:val="005800A4"/>
    <w:rsid w:val="00587AAC"/>
    <w:rsid w:val="005C6488"/>
    <w:rsid w:val="005F2DC9"/>
    <w:rsid w:val="00666F77"/>
    <w:rsid w:val="00667C90"/>
    <w:rsid w:val="0067695C"/>
    <w:rsid w:val="00682245"/>
    <w:rsid w:val="00694CE4"/>
    <w:rsid w:val="006B1A06"/>
    <w:rsid w:val="006C5956"/>
    <w:rsid w:val="006D7F5D"/>
    <w:rsid w:val="006E1816"/>
    <w:rsid w:val="006E6B11"/>
    <w:rsid w:val="007007FA"/>
    <w:rsid w:val="00713CE2"/>
    <w:rsid w:val="00751384"/>
    <w:rsid w:val="007A6EE6"/>
    <w:rsid w:val="007B4CA7"/>
    <w:rsid w:val="007B6F11"/>
    <w:rsid w:val="007C3A8C"/>
    <w:rsid w:val="007D5A2F"/>
    <w:rsid w:val="007F28CC"/>
    <w:rsid w:val="008037DC"/>
    <w:rsid w:val="00830F13"/>
    <w:rsid w:val="00830FA7"/>
    <w:rsid w:val="00862C43"/>
    <w:rsid w:val="00863359"/>
    <w:rsid w:val="008679A3"/>
    <w:rsid w:val="0088627E"/>
    <w:rsid w:val="008C32A1"/>
    <w:rsid w:val="008C3394"/>
    <w:rsid w:val="008D6E43"/>
    <w:rsid w:val="008F18D4"/>
    <w:rsid w:val="008F28C0"/>
    <w:rsid w:val="008F4E3E"/>
    <w:rsid w:val="009135B9"/>
    <w:rsid w:val="009E0CFB"/>
    <w:rsid w:val="00A24D29"/>
    <w:rsid w:val="00A322B3"/>
    <w:rsid w:val="00A63A28"/>
    <w:rsid w:val="00A76E09"/>
    <w:rsid w:val="00A83C8B"/>
    <w:rsid w:val="00A87C9C"/>
    <w:rsid w:val="00AA67CD"/>
    <w:rsid w:val="00AC5837"/>
    <w:rsid w:val="00AC7DA6"/>
    <w:rsid w:val="00B03962"/>
    <w:rsid w:val="00B27341"/>
    <w:rsid w:val="00B71D49"/>
    <w:rsid w:val="00B74437"/>
    <w:rsid w:val="00B81B62"/>
    <w:rsid w:val="00BB2CE8"/>
    <w:rsid w:val="00BD1CAA"/>
    <w:rsid w:val="00C05A5C"/>
    <w:rsid w:val="00C66B40"/>
    <w:rsid w:val="00D054BA"/>
    <w:rsid w:val="00D12F5C"/>
    <w:rsid w:val="00D30E62"/>
    <w:rsid w:val="00D34955"/>
    <w:rsid w:val="00D5757D"/>
    <w:rsid w:val="00D6448C"/>
    <w:rsid w:val="00D84572"/>
    <w:rsid w:val="00DA0770"/>
    <w:rsid w:val="00DD3B36"/>
    <w:rsid w:val="00E431A5"/>
    <w:rsid w:val="00E7483E"/>
    <w:rsid w:val="00E92173"/>
    <w:rsid w:val="00F306D3"/>
    <w:rsid w:val="00F36BCE"/>
    <w:rsid w:val="00FA6330"/>
    <w:rsid w:val="00FA63EE"/>
    <w:rsid w:val="00FA6A54"/>
    <w:rsid w:val="00FF5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28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123B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23B0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rsid w:val="00A87C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87C9C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67C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67C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67C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D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D3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D3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1F7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B28"/>
    <w:rPr>
      <w:rFonts w:ascii="Calibri" w:eastAsia="Calibri" w:hAnsi="Calibri" w:cs="Times New Roman"/>
    </w:rPr>
  </w:style>
  <w:style w:type="character" w:customStyle="1" w:styleId="Teksttreci6">
    <w:name w:val="Tekst treści (6)_"/>
    <w:basedOn w:val="Domylnaczcionkaakapitu"/>
    <w:link w:val="Teksttreci60"/>
    <w:rsid w:val="00123B0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123B0F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</w:rPr>
  </w:style>
  <w:style w:type="character" w:customStyle="1" w:styleId="Teksttreci8">
    <w:name w:val="Tekst treści (8)_"/>
    <w:basedOn w:val="Domylnaczcionkaakapitu"/>
    <w:link w:val="Teksttreci80"/>
    <w:rsid w:val="00A87C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A87C9C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1CC41-8E20-4831-ABED-1D6DAD46D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2022-06-29T10:17:00Z</dcterms:created>
  <dcterms:modified xsi:type="dcterms:W3CDTF">2022-06-29T10:17:00Z</dcterms:modified>
</cp:coreProperties>
</file>