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29" w:rsidRPr="007B4CA7" w:rsidRDefault="00A24D29" w:rsidP="007B4CA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</w:p>
    <w:p w:rsidR="007C3A8C" w:rsidRPr="007B4CA7" w:rsidRDefault="007C3A8C" w:rsidP="007B4CA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7B4CA7">
        <w:rPr>
          <w:noProof/>
        </w:rPr>
        <w:drawing>
          <wp:anchor distT="0" distB="0" distL="114300" distR="114300" simplePos="0" relativeHeight="251659264" behindDoc="0" locked="0" layoutInCell="1" allowOverlap="1" wp14:anchorId="0D36AC43" wp14:editId="057B4402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A8C" w:rsidRPr="007B4CA7" w:rsidRDefault="007C3A8C" w:rsidP="007B4CA7">
      <w:pPr>
        <w:pStyle w:val="Nagwek"/>
        <w:spacing w:line="360" w:lineRule="auto"/>
        <w:ind w:right="4959"/>
        <w:jc w:val="center"/>
        <w:rPr>
          <w:b/>
        </w:rPr>
      </w:pPr>
    </w:p>
    <w:p w:rsidR="007C3A8C" w:rsidRPr="007B4CA7" w:rsidRDefault="007C3A8C" w:rsidP="007B4CA7">
      <w:pPr>
        <w:pStyle w:val="Nagwek"/>
        <w:spacing w:line="360" w:lineRule="auto"/>
        <w:ind w:left="-851" w:right="5526"/>
        <w:jc w:val="center"/>
        <w:rPr>
          <w:b/>
        </w:rPr>
      </w:pPr>
    </w:p>
    <w:p w:rsidR="007C3A8C" w:rsidRPr="007B4CA7" w:rsidRDefault="007C3A8C" w:rsidP="007B4CA7">
      <w:pPr>
        <w:pStyle w:val="Nagwek"/>
        <w:spacing w:line="360" w:lineRule="auto"/>
        <w:ind w:left="-851" w:right="5526"/>
        <w:jc w:val="center"/>
        <w:rPr>
          <w:b/>
        </w:rPr>
      </w:pPr>
      <w:r w:rsidRPr="007B4CA7">
        <w:rPr>
          <w:b/>
        </w:rPr>
        <w:t>KRAJOWA SZKOŁA</w:t>
      </w:r>
    </w:p>
    <w:p w:rsidR="007C3A8C" w:rsidRPr="007B4CA7" w:rsidRDefault="007C3A8C" w:rsidP="007B4CA7">
      <w:pPr>
        <w:pStyle w:val="Nagwek"/>
        <w:spacing w:line="360" w:lineRule="auto"/>
        <w:ind w:left="-851" w:right="5526"/>
        <w:jc w:val="center"/>
        <w:rPr>
          <w:b/>
        </w:rPr>
      </w:pPr>
      <w:r w:rsidRPr="007B4CA7">
        <w:rPr>
          <w:b/>
        </w:rPr>
        <w:t xml:space="preserve"> SĄDOWNICTWA I PROKURATURY</w:t>
      </w:r>
    </w:p>
    <w:p w:rsidR="007C3A8C" w:rsidRPr="007B4CA7" w:rsidRDefault="007C3A8C" w:rsidP="007B4CA7">
      <w:pPr>
        <w:pStyle w:val="Nagwek"/>
        <w:spacing w:line="360" w:lineRule="auto"/>
        <w:ind w:right="4392" w:hanging="283"/>
        <w:rPr>
          <w:b/>
        </w:rPr>
      </w:pPr>
    </w:p>
    <w:p w:rsidR="007C3A8C" w:rsidRPr="007B4CA7" w:rsidRDefault="007C3A8C" w:rsidP="007B4CA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Kraków, </w:t>
      </w:r>
      <w:r w:rsidR="00527FFC" w:rsidRPr="007B4CA7">
        <w:rPr>
          <w:rFonts w:ascii="Times New Roman" w:hAnsi="Times New Roman"/>
          <w:sz w:val="24"/>
          <w:szCs w:val="24"/>
        </w:rPr>
        <w:t>2</w:t>
      </w:r>
      <w:r w:rsidR="00713CE2" w:rsidRPr="007B4CA7">
        <w:rPr>
          <w:rFonts w:ascii="Times New Roman" w:hAnsi="Times New Roman"/>
          <w:sz w:val="24"/>
          <w:szCs w:val="24"/>
        </w:rPr>
        <w:t>9</w:t>
      </w:r>
      <w:r w:rsidR="00527FFC" w:rsidRPr="007B4CA7">
        <w:rPr>
          <w:rFonts w:ascii="Times New Roman" w:hAnsi="Times New Roman"/>
          <w:sz w:val="24"/>
          <w:szCs w:val="24"/>
        </w:rPr>
        <w:t xml:space="preserve"> </w:t>
      </w:r>
      <w:r w:rsidR="00713CE2" w:rsidRPr="007B4CA7">
        <w:rPr>
          <w:rFonts w:ascii="Times New Roman" w:hAnsi="Times New Roman"/>
          <w:sz w:val="24"/>
          <w:szCs w:val="24"/>
        </w:rPr>
        <w:t>czerwca 2022</w:t>
      </w:r>
      <w:r w:rsidR="0054586E" w:rsidRPr="007B4CA7">
        <w:rPr>
          <w:rFonts w:ascii="Times New Roman" w:hAnsi="Times New Roman"/>
          <w:sz w:val="24"/>
          <w:szCs w:val="24"/>
        </w:rPr>
        <w:t xml:space="preserve"> r</w:t>
      </w:r>
      <w:r w:rsidRPr="007B4CA7">
        <w:rPr>
          <w:rFonts w:ascii="Times New Roman" w:hAnsi="Times New Roman"/>
          <w:sz w:val="24"/>
          <w:szCs w:val="24"/>
        </w:rPr>
        <w:t>.</w:t>
      </w:r>
    </w:p>
    <w:p w:rsidR="00713CE2" w:rsidRPr="007B4CA7" w:rsidRDefault="00713CE2" w:rsidP="007B4C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CE2">
        <w:rPr>
          <w:rFonts w:ascii="Times New Roman" w:eastAsia="Times New Roman" w:hAnsi="Times New Roman"/>
          <w:sz w:val="24"/>
          <w:szCs w:val="24"/>
          <w:lang w:eastAsia="pl-PL"/>
        </w:rPr>
        <w:t>OAS-II.420.15.2022</w:t>
      </w:r>
    </w:p>
    <w:p w:rsidR="00713CE2" w:rsidRPr="007B4CA7" w:rsidRDefault="00713CE2" w:rsidP="007B4CA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3A8C" w:rsidRPr="008B4E61" w:rsidRDefault="007C3A8C" w:rsidP="008B4E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B4CA7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8B4E61">
        <w:rPr>
          <w:rFonts w:ascii="Times New Roman" w:hAnsi="Times New Roman"/>
          <w:i/>
          <w:sz w:val="24"/>
          <w:szCs w:val="24"/>
        </w:rPr>
        <w:t>XI</w:t>
      </w:r>
      <w:r w:rsidRPr="007B4CA7">
        <w:rPr>
          <w:rFonts w:ascii="Times New Roman" w:hAnsi="Times New Roman"/>
          <w:i/>
          <w:sz w:val="24"/>
          <w:szCs w:val="24"/>
        </w:rPr>
        <w:t xml:space="preserve"> roczni</w:t>
      </w:r>
      <w:r w:rsidR="001810FD" w:rsidRPr="007B4CA7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713CE2" w:rsidRPr="007B4CA7">
        <w:rPr>
          <w:rFonts w:ascii="Times New Roman" w:hAnsi="Times New Roman"/>
          <w:i/>
          <w:sz w:val="24"/>
          <w:szCs w:val="24"/>
        </w:rPr>
        <w:t xml:space="preserve">27 </w:t>
      </w:r>
      <w:r w:rsidRPr="007B4CA7">
        <w:rPr>
          <w:rFonts w:ascii="Times New Roman" w:hAnsi="Times New Roman"/>
          <w:i/>
          <w:sz w:val="24"/>
          <w:szCs w:val="24"/>
        </w:rPr>
        <w:t>zjeździe</w:t>
      </w:r>
      <w:bookmarkStart w:id="0" w:name="_GoBack"/>
      <w:bookmarkEnd w:id="0"/>
    </w:p>
    <w:p w:rsidR="007C3A8C" w:rsidRPr="007B4CA7" w:rsidRDefault="007C3A8C" w:rsidP="00142C14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b/>
          <w:sz w:val="24"/>
          <w:szCs w:val="24"/>
        </w:rPr>
        <w:t>Do</w:t>
      </w:r>
    </w:p>
    <w:p w:rsidR="007C3A8C" w:rsidRPr="007B4CA7" w:rsidRDefault="0054586E" w:rsidP="00142C14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b/>
          <w:sz w:val="24"/>
          <w:szCs w:val="24"/>
        </w:rPr>
        <w:t>P</w:t>
      </w:r>
      <w:r w:rsidR="007C3A8C" w:rsidRPr="007B4CA7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7B4CA7" w:rsidRDefault="007C3A8C" w:rsidP="00142C14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b/>
          <w:sz w:val="24"/>
          <w:szCs w:val="24"/>
        </w:rPr>
        <w:t xml:space="preserve">oraz </w:t>
      </w:r>
      <w:r w:rsidR="0054586E" w:rsidRPr="007B4CA7">
        <w:rPr>
          <w:rFonts w:ascii="Times New Roman" w:hAnsi="Times New Roman"/>
          <w:b/>
          <w:sz w:val="24"/>
          <w:szCs w:val="24"/>
        </w:rPr>
        <w:t>P</w:t>
      </w:r>
      <w:r w:rsidRPr="007B4CA7">
        <w:rPr>
          <w:rFonts w:ascii="Times New Roman" w:hAnsi="Times New Roman"/>
          <w:b/>
          <w:sz w:val="24"/>
          <w:szCs w:val="24"/>
        </w:rPr>
        <w:t>atronów koordynatorów</w:t>
      </w:r>
    </w:p>
    <w:p w:rsidR="007C3A8C" w:rsidRPr="007B4CA7" w:rsidRDefault="007C3A8C" w:rsidP="00142C14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7C3A8C" w:rsidRPr="007B4CA7" w:rsidRDefault="007C3A8C" w:rsidP="007B4C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CE2" w:rsidRPr="007B4CA7" w:rsidRDefault="00713CE2" w:rsidP="007B4C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U</w:t>
      </w:r>
      <w:r w:rsidR="007C3A8C" w:rsidRPr="007B4CA7">
        <w:rPr>
          <w:rFonts w:ascii="Times New Roman" w:hAnsi="Times New Roman"/>
          <w:sz w:val="24"/>
          <w:szCs w:val="24"/>
        </w:rPr>
        <w:t xml:space="preserve">przejmie przedstawiam szczegółowy zakres </w:t>
      </w:r>
      <w:r w:rsidR="007C3A8C" w:rsidRPr="008B4E61">
        <w:rPr>
          <w:rFonts w:ascii="Times New Roman" w:hAnsi="Times New Roman"/>
          <w:sz w:val="24"/>
          <w:szCs w:val="24"/>
        </w:rPr>
        <w:t xml:space="preserve">tematyczny, który </w:t>
      </w:r>
      <w:r w:rsidRPr="008B4E61">
        <w:rPr>
          <w:rFonts w:ascii="Times New Roman" w:hAnsi="Times New Roman"/>
          <w:sz w:val="24"/>
          <w:szCs w:val="24"/>
        </w:rPr>
        <w:t>po</w:t>
      </w:r>
      <w:r w:rsidR="007C3A8C" w:rsidRPr="008B4E61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="008B4E61" w:rsidRPr="008B4E61">
        <w:rPr>
          <w:rFonts w:ascii="Times New Roman" w:hAnsi="Times New Roman"/>
          <w:b/>
          <w:sz w:val="24"/>
          <w:szCs w:val="24"/>
          <w:u w:val="single"/>
        </w:rPr>
        <w:t>XI</w:t>
      </w:r>
      <w:r w:rsidR="007C3A8C" w:rsidRPr="008B4E61">
        <w:rPr>
          <w:rFonts w:ascii="Times New Roman" w:hAnsi="Times New Roman"/>
          <w:b/>
          <w:sz w:val="24"/>
          <w:szCs w:val="24"/>
          <w:u w:val="single"/>
        </w:rPr>
        <w:t xml:space="preserve"> rocznika aplikacji sędziowskiej</w:t>
      </w:r>
      <w:r w:rsidR="007C3A8C" w:rsidRPr="007B4CA7">
        <w:rPr>
          <w:rFonts w:ascii="Times New Roman" w:hAnsi="Times New Roman"/>
          <w:sz w:val="24"/>
          <w:szCs w:val="24"/>
        </w:rPr>
        <w:t xml:space="preserve"> odbywanych w terminie </w:t>
      </w:r>
      <w:r w:rsidR="008D6E43" w:rsidRPr="008B4E61">
        <w:rPr>
          <w:rFonts w:ascii="Times New Roman" w:hAnsi="Times New Roman"/>
          <w:b/>
          <w:sz w:val="24"/>
          <w:szCs w:val="24"/>
        </w:rPr>
        <w:t>25.07.2022 r.- 12.08.2022 r.</w:t>
      </w:r>
      <w:r w:rsidR="007C3A8C" w:rsidRPr="007B4CA7">
        <w:rPr>
          <w:rFonts w:ascii="Times New Roman" w:hAnsi="Times New Roman"/>
          <w:sz w:val="24"/>
          <w:szCs w:val="24"/>
        </w:rPr>
        <w:t xml:space="preserve">, po </w:t>
      </w:r>
      <w:r w:rsidRPr="008B4E61">
        <w:rPr>
          <w:rFonts w:ascii="Times New Roman" w:hAnsi="Times New Roman"/>
          <w:b/>
          <w:sz w:val="24"/>
          <w:szCs w:val="24"/>
          <w:u w:val="single"/>
        </w:rPr>
        <w:t xml:space="preserve">27 </w:t>
      </w:r>
      <w:r w:rsidR="007C3A8C" w:rsidRPr="008B4E61">
        <w:rPr>
          <w:rFonts w:ascii="Times New Roman" w:hAnsi="Times New Roman"/>
          <w:b/>
          <w:sz w:val="24"/>
          <w:szCs w:val="24"/>
          <w:u w:val="single"/>
        </w:rPr>
        <w:t>zjeździe</w:t>
      </w:r>
      <w:r w:rsidR="007C3A8C" w:rsidRPr="007B4CA7">
        <w:rPr>
          <w:rFonts w:ascii="Times New Roman" w:hAnsi="Times New Roman"/>
          <w:sz w:val="24"/>
          <w:szCs w:val="24"/>
        </w:rPr>
        <w:t xml:space="preserve"> aplikacji sędziowskiej</w:t>
      </w:r>
      <w:r w:rsidRPr="007B4CA7">
        <w:rPr>
          <w:rFonts w:ascii="Times New Roman" w:hAnsi="Times New Roman"/>
          <w:sz w:val="24"/>
          <w:szCs w:val="24"/>
        </w:rPr>
        <w:t>.</w:t>
      </w:r>
    </w:p>
    <w:p w:rsidR="007C3A8C" w:rsidRPr="007B4CA7" w:rsidRDefault="007C3A8C" w:rsidP="007B4C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142C14">
        <w:rPr>
          <w:rFonts w:ascii="Times New Roman" w:hAnsi="Times New Roman"/>
          <w:sz w:val="24"/>
          <w:szCs w:val="24"/>
        </w:rPr>
        <w:t xml:space="preserve"> z czynnościami i </w:t>
      </w:r>
      <w:r w:rsidRPr="007B4CA7">
        <w:rPr>
          <w:rFonts w:ascii="Times New Roman" w:hAnsi="Times New Roman"/>
          <w:sz w:val="24"/>
          <w:szCs w:val="24"/>
        </w:rPr>
        <w:t>metodyką pracy sędziego oraz doskonalenie umiejętności wykorzystania wiedzy teoretycznej i znajomości orzecznictwa</w:t>
      </w:r>
      <w:r w:rsidR="0030232A" w:rsidRPr="007B4CA7">
        <w:rPr>
          <w:rFonts w:ascii="Times New Roman" w:hAnsi="Times New Roman"/>
          <w:sz w:val="24"/>
          <w:szCs w:val="24"/>
        </w:rPr>
        <w:t xml:space="preserve"> </w:t>
      </w:r>
      <w:r w:rsidRPr="007B4CA7">
        <w:rPr>
          <w:rFonts w:ascii="Times New Roman" w:hAnsi="Times New Roman"/>
          <w:sz w:val="24"/>
          <w:szCs w:val="24"/>
        </w:rPr>
        <w:t>przy sporządzaniu projektów orzeczeń, zarządzeń i pism procesowych, a także poprzez uczestniczenie w czynnościach podejmowanych przez patrona praktyki.</w:t>
      </w:r>
      <w:r w:rsidR="0030232A" w:rsidRPr="007B4CA7">
        <w:rPr>
          <w:rFonts w:ascii="Times New Roman" w:hAnsi="Times New Roman"/>
          <w:sz w:val="24"/>
          <w:szCs w:val="24"/>
        </w:rPr>
        <w:t xml:space="preserve"> </w:t>
      </w:r>
      <w:r w:rsidRPr="007B4CA7">
        <w:rPr>
          <w:rFonts w:ascii="Times New Roman" w:hAnsi="Times New Roman"/>
          <w:sz w:val="24"/>
          <w:szCs w:val="24"/>
        </w:rPr>
        <w:t xml:space="preserve">Praktyka winna utrwalać wiedzę zdobytą przez aplikanta podczas poprzedzających ją zajęć seminaryjnych w ramach zjazdu. </w:t>
      </w:r>
    </w:p>
    <w:p w:rsidR="00A76E09" w:rsidRPr="007B4CA7" w:rsidRDefault="007C3A8C" w:rsidP="007B4CA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8B4E61">
        <w:rPr>
          <w:rFonts w:ascii="Times New Roman" w:hAnsi="Times New Roman"/>
          <w:sz w:val="24"/>
          <w:szCs w:val="24"/>
        </w:rPr>
        <w:t>XI</w:t>
      </w:r>
      <w:r w:rsidRPr="007B4CA7">
        <w:rPr>
          <w:rFonts w:ascii="Times New Roman" w:hAnsi="Times New Roman"/>
          <w:sz w:val="24"/>
          <w:szCs w:val="24"/>
        </w:rPr>
        <w:t xml:space="preserve"> rocznik</w:t>
      </w:r>
      <w:r w:rsidR="008C32A1" w:rsidRPr="007B4CA7">
        <w:rPr>
          <w:rFonts w:ascii="Times New Roman" w:hAnsi="Times New Roman"/>
          <w:sz w:val="24"/>
          <w:szCs w:val="24"/>
        </w:rPr>
        <w:t xml:space="preserve">a tej aplikacji, przedmiotem </w:t>
      </w:r>
      <w:r w:rsidR="008D6E43" w:rsidRPr="007B4CA7">
        <w:rPr>
          <w:rFonts w:ascii="Times New Roman" w:hAnsi="Times New Roman"/>
          <w:sz w:val="24"/>
          <w:szCs w:val="24"/>
        </w:rPr>
        <w:t>27</w:t>
      </w:r>
      <w:r w:rsidR="00123B0F" w:rsidRPr="007B4CA7">
        <w:rPr>
          <w:rFonts w:ascii="Times New Roman" w:hAnsi="Times New Roman"/>
          <w:sz w:val="24"/>
          <w:szCs w:val="24"/>
        </w:rPr>
        <w:t xml:space="preserve"> </w:t>
      </w:r>
      <w:r w:rsidRPr="007B4CA7">
        <w:rPr>
          <w:rFonts w:ascii="Times New Roman" w:hAnsi="Times New Roman"/>
          <w:sz w:val="24"/>
          <w:szCs w:val="24"/>
        </w:rPr>
        <w:t xml:space="preserve">zjazdu </w:t>
      </w:r>
      <w:r w:rsidR="00D84572" w:rsidRPr="007B4CA7">
        <w:rPr>
          <w:rFonts w:ascii="Times New Roman" w:hAnsi="Times New Roman"/>
          <w:sz w:val="24"/>
          <w:szCs w:val="24"/>
        </w:rPr>
        <w:t xml:space="preserve">jest </w:t>
      </w:r>
      <w:r w:rsidR="00323537" w:rsidRPr="007B4CA7">
        <w:rPr>
          <w:rFonts w:ascii="Times New Roman" w:hAnsi="Times New Roman"/>
          <w:b/>
          <w:sz w:val="24"/>
          <w:szCs w:val="24"/>
        </w:rPr>
        <w:t>prawo pracy</w:t>
      </w:r>
      <w:r w:rsidR="008C32A1" w:rsidRPr="007B4CA7">
        <w:rPr>
          <w:rFonts w:ascii="Times New Roman" w:hAnsi="Times New Roman"/>
          <w:sz w:val="24"/>
          <w:szCs w:val="24"/>
        </w:rPr>
        <w:t xml:space="preserve">. </w:t>
      </w:r>
      <w:r w:rsidRPr="007B4CA7">
        <w:rPr>
          <w:rFonts w:ascii="Times New Roman" w:hAnsi="Times New Roman"/>
          <w:sz w:val="24"/>
          <w:szCs w:val="24"/>
        </w:rPr>
        <w:t xml:space="preserve">Po zakończeniu zjazdu aplikanci mają odbyć trwającą </w:t>
      </w:r>
      <w:r w:rsidR="00323537" w:rsidRPr="007B4CA7">
        <w:rPr>
          <w:rFonts w:ascii="Times New Roman" w:hAnsi="Times New Roman"/>
          <w:sz w:val="24"/>
          <w:szCs w:val="24"/>
        </w:rPr>
        <w:t>3</w:t>
      </w:r>
      <w:r w:rsidR="00D84572" w:rsidRPr="007B4CA7">
        <w:rPr>
          <w:rFonts w:ascii="Times New Roman" w:hAnsi="Times New Roman"/>
          <w:sz w:val="24"/>
          <w:szCs w:val="24"/>
        </w:rPr>
        <w:t xml:space="preserve"> tygodnie </w:t>
      </w:r>
      <w:r w:rsidR="006B1A06" w:rsidRPr="007B4CA7">
        <w:rPr>
          <w:rFonts w:ascii="Times New Roman" w:hAnsi="Times New Roman"/>
          <w:sz w:val="24"/>
          <w:szCs w:val="24"/>
        </w:rPr>
        <w:t xml:space="preserve">praktykę </w:t>
      </w:r>
      <w:r w:rsidR="008D6E43" w:rsidRPr="007B4CA7">
        <w:rPr>
          <w:rFonts w:ascii="Times New Roman" w:hAnsi="Times New Roman"/>
          <w:sz w:val="24"/>
          <w:szCs w:val="24"/>
        </w:rPr>
        <w:t xml:space="preserve"> </w:t>
      </w:r>
      <w:r w:rsidR="00D84572" w:rsidRPr="007B4CA7">
        <w:rPr>
          <w:rFonts w:ascii="Times New Roman" w:hAnsi="Times New Roman"/>
          <w:sz w:val="24"/>
          <w:szCs w:val="24"/>
        </w:rPr>
        <w:t xml:space="preserve">w sądzie rejonowym </w:t>
      </w:r>
      <w:r w:rsidR="00B27341" w:rsidRPr="007B4CA7">
        <w:rPr>
          <w:rFonts w:ascii="Times New Roman" w:hAnsi="Times New Roman"/>
          <w:b/>
          <w:sz w:val="24"/>
          <w:szCs w:val="24"/>
        </w:rPr>
        <w:t>w</w:t>
      </w:r>
      <w:r w:rsidR="00D84572" w:rsidRPr="007B4CA7">
        <w:rPr>
          <w:rFonts w:ascii="Times New Roman" w:hAnsi="Times New Roman"/>
          <w:b/>
          <w:sz w:val="24"/>
          <w:szCs w:val="24"/>
        </w:rPr>
        <w:t xml:space="preserve"> wydzia</w:t>
      </w:r>
      <w:r w:rsidR="00B27341" w:rsidRPr="007B4CA7">
        <w:rPr>
          <w:rFonts w:ascii="Times New Roman" w:hAnsi="Times New Roman"/>
          <w:b/>
          <w:sz w:val="24"/>
          <w:szCs w:val="24"/>
        </w:rPr>
        <w:t>le</w:t>
      </w:r>
      <w:r w:rsidR="0030232A" w:rsidRPr="007B4CA7">
        <w:rPr>
          <w:rFonts w:ascii="Times New Roman" w:hAnsi="Times New Roman"/>
          <w:b/>
          <w:sz w:val="24"/>
          <w:szCs w:val="24"/>
        </w:rPr>
        <w:t xml:space="preserve"> </w:t>
      </w:r>
      <w:r w:rsidR="008D6E43" w:rsidRPr="007B4CA7">
        <w:rPr>
          <w:rFonts w:ascii="Times New Roman" w:hAnsi="Times New Roman"/>
          <w:b/>
          <w:sz w:val="24"/>
          <w:szCs w:val="24"/>
        </w:rPr>
        <w:t>pracy albo w wydziale pracy i </w:t>
      </w:r>
      <w:r w:rsidR="00323537" w:rsidRPr="007B4CA7">
        <w:rPr>
          <w:rFonts w:ascii="Times New Roman" w:hAnsi="Times New Roman"/>
          <w:b/>
          <w:sz w:val="24"/>
          <w:szCs w:val="24"/>
        </w:rPr>
        <w:t>ubezpieczeń społecznych.</w:t>
      </w:r>
    </w:p>
    <w:p w:rsidR="007C3A8C" w:rsidRPr="007B4CA7" w:rsidRDefault="00085E89" w:rsidP="007B4CA7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lastRenderedPageBreak/>
        <w:t xml:space="preserve">W zakresie spraw </w:t>
      </w:r>
      <w:r w:rsidR="00225EE4" w:rsidRPr="007B4CA7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7B4CA7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7B4CA7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7B4CA7">
        <w:rPr>
          <w:rFonts w:ascii="Times New Roman" w:hAnsi="Times New Roman"/>
          <w:sz w:val="24"/>
          <w:szCs w:val="24"/>
        </w:rPr>
        <w:t xml:space="preserve">poświęcić szczególną uwagę zagadnieniom </w:t>
      </w:r>
      <w:r w:rsidR="007C3A8C" w:rsidRPr="007B4CA7">
        <w:rPr>
          <w:rFonts w:ascii="Times New Roman" w:hAnsi="Times New Roman"/>
          <w:b/>
          <w:sz w:val="24"/>
          <w:szCs w:val="24"/>
        </w:rPr>
        <w:t>z zakresu prawa materialnego</w:t>
      </w:r>
      <w:r w:rsidR="00142C14">
        <w:rPr>
          <w:rFonts w:ascii="Times New Roman" w:hAnsi="Times New Roman"/>
          <w:b/>
          <w:sz w:val="24"/>
          <w:szCs w:val="24"/>
        </w:rPr>
        <w:t xml:space="preserve"> obejmującym</w:t>
      </w:r>
      <w:r w:rsidR="007C3A8C" w:rsidRPr="007B4CA7">
        <w:rPr>
          <w:rFonts w:ascii="Times New Roman" w:hAnsi="Times New Roman"/>
          <w:b/>
          <w:sz w:val="24"/>
          <w:szCs w:val="24"/>
        </w:rPr>
        <w:t>:</w:t>
      </w:r>
    </w:p>
    <w:p w:rsidR="00DA0770" w:rsidRPr="007B4CA7" w:rsidRDefault="00DA0770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źródła prawa pracy, </w:t>
      </w:r>
      <w:r w:rsidR="0002122F"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w tym tzw. autonomiczne źródła prawa pracy (art. 9 </w:t>
      </w:r>
      <w:proofErr w:type="spellStart"/>
      <w:r w:rsidR="0002122F" w:rsidRPr="007B4CA7">
        <w:rPr>
          <w:rFonts w:ascii="Times New Roman" w:eastAsia="Andale Sans UI" w:hAnsi="Times New Roman"/>
          <w:kern w:val="3"/>
          <w:sz w:val="24"/>
          <w:szCs w:val="24"/>
        </w:rPr>
        <w:t>k.p</w:t>
      </w:r>
      <w:proofErr w:type="spellEnd"/>
      <w:r w:rsidR="0002122F" w:rsidRPr="007B4CA7">
        <w:rPr>
          <w:rFonts w:ascii="Times New Roman" w:eastAsia="Andale Sans UI" w:hAnsi="Times New Roman"/>
          <w:kern w:val="3"/>
          <w:sz w:val="24"/>
          <w:szCs w:val="24"/>
        </w:rPr>
        <w:t>.);</w:t>
      </w:r>
    </w:p>
    <w:p w:rsidR="00323537" w:rsidRPr="007B4CA7" w:rsidRDefault="00323537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stosunek pracy a stosunki prawne wynikające z umów cywilnoprawnych (umowa o dzieło, umowa zlecenia, umowa o świadczenie usług, kontrakt menedżerski), ustalenie istnienia stosunku pracy</w:t>
      </w:r>
      <w:r w:rsidR="00D30E62"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 (art. 22 </w:t>
      </w:r>
      <w:proofErr w:type="spellStart"/>
      <w:r w:rsidR="00D30E62" w:rsidRPr="007B4CA7">
        <w:rPr>
          <w:rFonts w:ascii="Times New Roman" w:eastAsia="Andale Sans UI" w:hAnsi="Times New Roman"/>
          <w:kern w:val="3"/>
          <w:sz w:val="24"/>
          <w:szCs w:val="24"/>
        </w:rPr>
        <w:t>k.p</w:t>
      </w:r>
      <w:proofErr w:type="spellEnd"/>
      <w:r w:rsidR="00D30E62" w:rsidRPr="007B4CA7">
        <w:rPr>
          <w:rFonts w:ascii="Times New Roman" w:eastAsia="Andale Sans UI" w:hAnsi="Times New Roman"/>
          <w:kern w:val="3"/>
          <w:sz w:val="24"/>
          <w:szCs w:val="24"/>
        </w:rPr>
        <w:t>.)</w:t>
      </w:r>
      <w:r w:rsidRPr="007B4CA7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:rsidR="00830FA7" w:rsidRPr="007B4CA7" w:rsidRDefault="00830FA7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przejście zakładu pracy lub jego części na innego pracodawcę, odpowiedzialność dotychczasowego i nowego pracodawcy wobec pracownika za zobowiązania wynikające ze stosunku pracy;</w:t>
      </w:r>
    </w:p>
    <w:p w:rsidR="005C6488" w:rsidRPr="007B4CA7" w:rsidRDefault="00323537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roszczenia przysługujące pracownikowi w przypadku niezgodnego z prawem rozwiązania umowy o pracę bez wypowiedzenia oraz za wypowiedzeniem</w:t>
      </w:r>
      <w:r w:rsidR="00DA0770" w:rsidRPr="007B4CA7">
        <w:rPr>
          <w:rFonts w:ascii="Times New Roman" w:eastAsia="Andale Sans UI" w:hAnsi="Times New Roman"/>
          <w:kern w:val="3"/>
          <w:sz w:val="24"/>
          <w:szCs w:val="24"/>
        </w:rPr>
        <w:t>, roszczenia przysługujące pracownikom zatrudnionym na podstawie mianowania, powołania i wyboru;</w:t>
      </w:r>
    </w:p>
    <w:p w:rsidR="005C6488" w:rsidRPr="007B4CA7" w:rsidRDefault="00323537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szczególne zasady rozwiązywania z pracownikami stosunków pracy z przyczyn niedotyczących pracowników (tzw. zwolnienia grupowe);</w:t>
      </w:r>
    </w:p>
    <w:p w:rsidR="00D30E62" w:rsidRPr="007B4CA7" w:rsidRDefault="00DA0770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wynagrodzenie za pracę – składniki wynagrodzenia, ochrona wynagrodzenia za pracę, ochrona roszczeń pracowniczych w razie niewypłacalności pracodawcy;</w:t>
      </w:r>
      <w:r w:rsidR="002B243B"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D30E62" w:rsidRPr="007B4CA7">
        <w:rPr>
          <w:rFonts w:ascii="Times New Roman" w:eastAsia="Andale Sans UI" w:hAnsi="Times New Roman"/>
          <w:kern w:val="3"/>
          <w:sz w:val="24"/>
          <w:szCs w:val="24"/>
        </w:rPr>
        <w:t>inne niż wynagrodzenie za pracę roszczenia pieniężne ze stosun</w:t>
      </w:r>
      <w:r w:rsidR="002B243B" w:rsidRPr="007B4CA7">
        <w:rPr>
          <w:rFonts w:ascii="Times New Roman" w:eastAsia="Andale Sans UI" w:hAnsi="Times New Roman"/>
          <w:kern w:val="3"/>
          <w:sz w:val="24"/>
          <w:szCs w:val="24"/>
        </w:rPr>
        <w:t>ku pracy, w tym odprawy i diety;</w:t>
      </w:r>
    </w:p>
    <w:p w:rsidR="0002122F" w:rsidRPr="007B4CA7" w:rsidRDefault="0002122F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roszczenia przysługujące pracownikowi w przypadku naruszenia zakazu dyskryminacji oraz związane z </w:t>
      </w:r>
      <w:proofErr w:type="spellStart"/>
      <w:r w:rsidRPr="007B4CA7">
        <w:rPr>
          <w:rFonts w:ascii="Times New Roman" w:eastAsia="Andale Sans UI" w:hAnsi="Times New Roman"/>
          <w:kern w:val="3"/>
          <w:sz w:val="24"/>
          <w:szCs w:val="24"/>
        </w:rPr>
        <w:t>mobbingiem</w:t>
      </w:r>
      <w:proofErr w:type="spellEnd"/>
      <w:r w:rsidRPr="007B4CA7">
        <w:rPr>
          <w:rFonts w:ascii="Times New Roman" w:eastAsia="Andale Sans UI" w:hAnsi="Times New Roman"/>
          <w:kern w:val="3"/>
          <w:sz w:val="24"/>
          <w:szCs w:val="24"/>
        </w:rPr>
        <w:t>;</w:t>
      </w:r>
    </w:p>
    <w:p w:rsidR="0002122F" w:rsidRPr="008B4E61" w:rsidRDefault="0002122F" w:rsidP="008B4E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systemy i rozkłady czasu pracy, </w:t>
      </w:r>
      <w:r w:rsidR="00830FA7" w:rsidRPr="007B4CA7">
        <w:rPr>
          <w:rFonts w:ascii="Times New Roman" w:eastAsia="Andale Sans UI" w:hAnsi="Times New Roman"/>
          <w:kern w:val="3"/>
          <w:sz w:val="24"/>
          <w:szCs w:val="24"/>
        </w:rPr>
        <w:t>czas pracy kierowców;</w:t>
      </w:r>
      <w:r w:rsidR="008B4E61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830FA7" w:rsidRPr="008B4E61">
        <w:rPr>
          <w:rFonts w:ascii="Times New Roman" w:eastAsia="Andale Sans UI" w:hAnsi="Times New Roman"/>
          <w:kern w:val="3"/>
          <w:sz w:val="24"/>
          <w:szCs w:val="24"/>
        </w:rPr>
        <w:t xml:space="preserve">wynagrodzenie za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>prac</w:t>
      </w:r>
      <w:r w:rsidR="00830FA7" w:rsidRPr="008B4E61">
        <w:rPr>
          <w:rFonts w:ascii="Times New Roman" w:eastAsia="Andale Sans UI" w:hAnsi="Times New Roman"/>
          <w:kern w:val="3"/>
          <w:sz w:val="24"/>
          <w:szCs w:val="24"/>
        </w:rPr>
        <w:t>ę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 xml:space="preserve"> w godzinach nadliczbowych</w:t>
      </w:r>
      <w:r w:rsidR="00830FA7" w:rsidRPr="008B4E61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 xml:space="preserve"> w porze nocnej, w niedziele i święta, </w:t>
      </w:r>
      <w:r w:rsidR="00830FA7" w:rsidRPr="008B4E61">
        <w:rPr>
          <w:rFonts w:ascii="Times New Roman" w:eastAsia="Andale Sans UI" w:hAnsi="Times New Roman"/>
          <w:kern w:val="3"/>
          <w:sz w:val="24"/>
          <w:szCs w:val="24"/>
        </w:rPr>
        <w:t xml:space="preserve">za czas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>dyż</w:t>
      </w:r>
      <w:r w:rsidR="00830FA7" w:rsidRPr="008B4E61">
        <w:rPr>
          <w:rFonts w:ascii="Times New Roman" w:eastAsia="Andale Sans UI" w:hAnsi="Times New Roman"/>
          <w:kern w:val="3"/>
          <w:sz w:val="24"/>
          <w:szCs w:val="24"/>
        </w:rPr>
        <w:t>uru pracowniczego (w tym medycznego);</w:t>
      </w:r>
    </w:p>
    <w:p w:rsidR="0002122F" w:rsidRPr="008B4E61" w:rsidRDefault="00830FA7" w:rsidP="008B4E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urlopy</w:t>
      </w:r>
      <w:r w:rsidR="00BB2CE8"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 pracownicze</w:t>
      </w:r>
      <w:r w:rsidR="0030232A" w:rsidRPr="007B4CA7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="00D30E62" w:rsidRPr="007B4CA7">
        <w:rPr>
          <w:rFonts w:ascii="Times New Roman" w:eastAsia="Andale Sans UI" w:hAnsi="Times New Roman"/>
          <w:kern w:val="3"/>
          <w:sz w:val="24"/>
          <w:szCs w:val="24"/>
        </w:rPr>
        <w:t xml:space="preserve"> w s</w:t>
      </w:r>
      <w:r w:rsidR="0030232A" w:rsidRPr="007B4CA7">
        <w:rPr>
          <w:rFonts w:ascii="Times New Roman" w:eastAsia="Andale Sans UI" w:hAnsi="Times New Roman"/>
          <w:kern w:val="3"/>
          <w:sz w:val="24"/>
          <w:szCs w:val="24"/>
        </w:rPr>
        <w:t>zczególności urlop wypoczynkowy;</w:t>
      </w:r>
      <w:r w:rsidR="008B4E61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02122F" w:rsidRPr="008B4E61">
        <w:rPr>
          <w:rFonts w:ascii="Times New Roman" w:eastAsia="Andale Sans UI" w:hAnsi="Times New Roman"/>
          <w:kern w:val="3"/>
          <w:sz w:val="24"/>
          <w:szCs w:val="24"/>
        </w:rPr>
        <w:t xml:space="preserve">odpowiedzialność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 xml:space="preserve">porządkowa i </w:t>
      </w:r>
      <w:r w:rsidR="0002122F" w:rsidRPr="008B4E61">
        <w:rPr>
          <w:rFonts w:ascii="Times New Roman" w:eastAsia="Andale Sans UI" w:hAnsi="Times New Roman"/>
          <w:kern w:val="3"/>
          <w:sz w:val="24"/>
          <w:szCs w:val="24"/>
        </w:rPr>
        <w:t>materialna pracowników;</w:t>
      </w:r>
    </w:p>
    <w:p w:rsidR="0002122F" w:rsidRPr="008B4E61" w:rsidRDefault="00830FA7" w:rsidP="008B4E6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roszczenia pracodawcy i pracownika wynikające z zakazu konkure</w:t>
      </w:r>
      <w:r w:rsidR="002B243B" w:rsidRPr="007B4CA7">
        <w:rPr>
          <w:rFonts w:ascii="Times New Roman" w:eastAsia="Andale Sans UI" w:hAnsi="Times New Roman"/>
          <w:kern w:val="3"/>
          <w:sz w:val="24"/>
          <w:szCs w:val="24"/>
        </w:rPr>
        <w:t>ncji po ustaniu stosunku pracy;</w:t>
      </w:r>
      <w:r w:rsidR="008B4E61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8B4E61">
        <w:rPr>
          <w:rFonts w:ascii="Times New Roman" w:eastAsia="Andale Sans UI" w:hAnsi="Times New Roman"/>
          <w:kern w:val="3"/>
          <w:sz w:val="24"/>
          <w:szCs w:val="24"/>
        </w:rPr>
        <w:t>świadectwo pracy</w:t>
      </w:r>
      <w:r w:rsidR="00BB2CE8" w:rsidRPr="008B4E61">
        <w:rPr>
          <w:rFonts w:ascii="Times New Roman" w:eastAsia="Andale Sans UI" w:hAnsi="Times New Roman"/>
          <w:kern w:val="3"/>
          <w:sz w:val="24"/>
          <w:szCs w:val="24"/>
        </w:rPr>
        <w:t>, sprostowanie świadectwa pracy;</w:t>
      </w:r>
    </w:p>
    <w:p w:rsidR="00830FA7" w:rsidRPr="007B4CA7" w:rsidRDefault="00830FA7" w:rsidP="007B4C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B4CA7">
        <w:rPr>
          <w:rFonts w:ascii="Times New Roman" w:eastAsia="Andale Sans UI" w:hAnsi="Times New Roman"/>
          <w:kern w:val="3"/>
          <w:sz w:val="24"/>
          <w:szCs w:val="24"/>
        </w:rPr>
        <w:t>związki zawodowe – uprawnienia zakładowej organizacji związkowej, ochrona stosunku pracy działaczy związkowych.</w:t>
      </w:r>
    </w:p>
    <w:p w:rsidR="00B81B62" w:rsidRPr="007B4CA7" w:rsidRDefault="00B81B62" w:rsidP="007B4CA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</w:t>
      </w:r>
      <w:r w:rsidR="008F28C0" w:rsidRPr="007B4CA7">
        <w:rPr>
          <w:rFonts w:ascii="Times New Roman" w:hAnsi="Times New Roman"/>
          <w:sz w:val="24"/>
          <w:szCs w:val="24"/>
        </w:rPr>
        <w:t xml:space="preserve">zagadnieniami </w:t>
      </w:r>
      <w:r w:rsidR="008F28C0" w:rsidRPr="00142C14">
        <w:rPr>
          <w:rFonts w:ascii="Times New Roman" w:hAnsi="Times New Roman"/>
          <w:b/>
          <w:sz w:val="24"/>
          <w:szCs w:val="24"/>
        </w:rPr>
        <w:t>z zakresu prawa procesowego</w:t>
      </w:r>
      <w:r w:rsidR="00FF5A7E" w:rsidRPr="007B4CA7">
        <w:rPr>
          <w:rFonts w:ascii="Times New Roman" w:hAnsi="Times New Roman"/>
          <w:sz w:val="24"/>
          <w:szCs w:val="24"/>
        </w:rPr>
        <w:t xml:space="preserve"> dotyczącymi istotnych odrębności postępowania w sprawach ze stosunku pracy, taki</w:t>
      </w:r>
      <w:r w:rsidR="00BB2CE8" w:rsidRPr="007B4CA7">
        <w:rPr>
          <w:rFonts w:ascii="Times New Roman" w:hAnsi="Times New Roman"/>
          <w:sz w:val="24"/>
          <w:szCs w:val="24"/>
        </w:rPr>
        <w:t>mi</w:t>
      </w:r>
      <w:r w:rsidR="00FF5A7E" w:rsidRPr="007B4CA7">
        <w:rPr>
          <w:rFonts w:ascii="Times New Roman" w:hAnsi="Times New Roman"/>
          <w:sz w:val="24"/>
          <w:szCs w:val="24"/>
        </w:rPr>
        <w:t xml:space="preserve"> jak:</w:t>
      </w:r>
    </w:p>
    <w:p w:rsidR="00830FA7" w:rsidRPr="007B4CA7" w:rsidRDefault="00FF5A7E" w:rsidP="007B4CA7">
      <w:pPr>
        <w:pStyle w:val="Akapitzlist"/>
        <w:widowControl w:val="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lastRenderedPageBreak/>
        <w:t>zdolność sądowa pracodawcy,</w:t>
      </w:r>
    </w:p>
    <w:p w:rsidR="00FF5A7E" w:rsidRPr="007B4CA7" w:rsidRDefault="00FF5A7E" w:rsidP="007B4CA7">
      <w:pPr>
        <w:pStyle w:val="Akapitzlist"/>
        <w:widowControl w:val="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możliwość zgłoszenia przez pracownika działającego bez adwokata lub radcy prawnego powództwa, pism procesowych oraz środków o</w:t>
      </w:r>
      <w:r w:rsidR="0054586E" w:rsidRPr="007B4CA7">
        <w:rPr>
          <w:rFonts w:ascii="Times New Roman" w:hAnsi="Times New Roman"/>
          <w:sz w:val="24"/>
          <w:szCs w:val="24"/>
        </w:rPr>
        <w:t>dwoławczych ustnie do protokołu;</w:t>
      </w:r>
    </w:p>
    <w:p w:rsidR="00FF5A7E" w:rsidRPr="007B4CA7" w:rsidRDefault="00FF5A7E" w:rsidP="007B4CA7">
      <w:pPr>
        <w:pStyle w:val="Akapitzlist"/>
        <w:widowControl w:val="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wyłączenie stosowania przepisów ograniczających dopuszczalność dowodu ze ś</w:t>
      </w:r>
      <w:r w:rsidR="008D6E43" w:rsidRPr="007B4CA7">
        <w:rPr>
          <w:rFonts w:ascii="Times New Roman" w:hAnsi="Times New Roman"/>
          <w:sz w:val="24"/>
          <w:szCs w:val="24"/>
        </w:rPr>
        <w:t>wiadków i z </w:t>
      </w:r>
      <w:r w:rsidR="0054586E" w:rsidRPr="007B4CA7">
        <w:rPr>
          <w:rFonts w:ascii="Times New Roman" w:hAnsi="Times New Roman"/>
          <w:sz w:val="24"/>
          <w:szCs w:val="24"/>
        </w:rPr>
        <w:t>przesłuchania stron;</w:t>
      </w:r>
    </w:p>
    <w:p w:rsidR="00FF5A7E" w:rsidRPr="007B4CA7" w:rsidRDefault="00FF5A7E" w:rsidP="007B4CA7">
      <w:pPr>
        <w:pStyle w:val="Akapitzlist"/>
        <w:widowControl w:val="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szeroki zakres czynności, które sąd może podjąć z urzędu (ustanowienie kuratora w trybie art. 69 k.p.c., </w:t>
      </w:r>
      <w:proofErr w:type="spellStart"/>
      <w:r w:rsidRPr="007B4CA7">
        <w:rPr>
          <w:rFonts w:ascii="Times New Roman" w:hAnsi="Times New Roman"/>
          <w:sz w:val="24"/>
          <w:szCs w:val="24"/>
        </w:rPr>
        <w:t>dopozwanie</w:t>
      </w:r>
      <w:proofErr w:type="spellEnd"/>
      <w:r w:rsidRPr="007B4CA7">
        <w:rPr>
          <w:rFonts w:ascii="Times New Roman" w:hAnsi="Times New Roman"/>
          <w:sz w:val="24"/>
          <w:szCs w:val="24"/>
        </w:rPr>
        <w:t>, możliwość uwzględnienia z urzędu roszczenia alternatywnego, n</w:t>
      </w:r>
      <w:r w:rsidR="0054586E" w:rsidRPr="007B4CA7">
        <w:rPr>
          <w:rFonts w:ascii="Times New Roman" w:hAnsi="Times New Roman"/>
          <w:sz w:val="24"/>
          <w:szCs w:val="24"/>
        </w:rPr>
        <w:t>iezgłoszonego przez pracownika);</w:t>
      </w:r>
    </w:p>
    <w:p w:rsidR="00D30E62" w:rsidRPr="007B4CA7" w:rsidRDefault="00D30E62" w:rsidP="007B4CA7">
      <w:pPr>
        <w:pStyle w:val="Akapitzlist"/>
        <w:widowControl w:val="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specyfika rygoru natychmiastowej wykonalności.</w:t>
      </w:r>
    </w:p>
    <w:p w:rsidR="00830F13" w:rsidRPr="007B4CA7" w:rsidRDefault="00B81B62" w:rsidP="007B4CA7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Szczególną uwagę należy poświęcić zagadnieniom procesowych i technicznych aspektów </w:t>
      </w:r>
      <w:r w:rsidRPr="007B4CA7">
        <w:rPr>
          <w:rFonts w:ascii="Times New Roman" w:hAnsi="Times New Roman"/>
          <w:b/>
          <w:sz w:val="24"/>
          <w:szCs w:val="24"/>
        </w:rPr>
        <w:t>postępowania dowodowego</w:t>
      </w:r>
      <w:r w:rsidR="00F306D3" w:rsidRPr="007B4CA7">
        <w:rPr>
          <w:rFonts w:ascii="Times New Roman" w:hAnsi="Times New Roman"/>
          <w:b/>
          <w:sz w:val="24"/>
          <w:szCs w:val="24"/>
        </w:rPr>
        <w:t xml:space="preserve"> w sprawach </w:t>
      </w:r>
      <w:r w:rsidR="00830F13" w:rsidRPr="007B4CA7">
        <w:rPr>
          <w:rFonts w:ascii="Times New Roman" w:hAnsi="Times New Roman"/>
          <w:b/>
          <w:sz w:val="24"/>
          <w:szCs w:val="24"/>
        </w:rPr>
        <w:t>z zakresu prawa pracy</w:t>
      </w:r>
      <w:r w:rsidR="007B4CA7">
        <w:rPr>
          <w:rFonts w:ascii="Times New Roman" w:hAnsi="Times New Roman"/>
          <w:sz w:val="24"/>
          <w:szCs w:val="24"/>
        </w:rPr>
        <w:t>, z </w:t>
      </w:r>
      <w:r w:rsidRPr="007B4CA7">
        <w:rPr>
          <w:rFonts w:ascii="Times New Roman" w:hAnsi="Times New Roman"/>
          <w:sz w:val="24"/>
          <w:szCs w:val="24"/>
        </w:rPr>
        <w:t xml:space="preserve">uwzględnieniem </w:t>
      </w:r>
      <w:r w:rsidR="00830F13" w:rsidRPr="007B4CA7">
        <w:rPr>
          <w:rFonts w:ascii="Times New Roman" w:hAnsi="Times New Roman"/>
          <w:sz w:val="24"/>
          <w:szCs w:val="24"/>
        </w:rPr>
        <w:t xml:space="preserve">kwestii analizy i oceny specyficznych dla spraw z tego zakresu środków dowodowych (np. akta osobowe pracownika, ewidencja czasu pracy), jak również </w:t>
      </w:r>
      <w:r w:rsidRPr="007B4CA7">
        <w:rPr>
          <w:rFonts w:ascii="Times New Roman" w:hAnsi="Times New Roman"/>
          <w:b/>
          <w:sz w:val="24"/>
          <w:szCs w:val="24"/>
        </w:rPr>
        <w:t>sposobu red</w:t>
      </w:r>
      <w:r w:rsidR="00830F13" w:rsidRPr="007B4CA7">
        <w:rPr>
          <w:rFonts w:ascii="Times New Roman" w:hAnsi="Times New Roman"/>
          <w:b/>
          <w:sz w:val="24"/>
          <w:szCs w:val="24"/>
        </w:rPr>
        <w:t>agowania postanowień dowodowych</w:t>
      </w:r>
      <w:r w:rsidR="00830F13" w:rsidRPr="007B4CA7">
        <w:rPr>
          <w:rFonts w:ascii="Times New Roman" w:hAnsi="Times New Roman"/>
          <w:sz w:val="24"/>
          <w:szCs w:val="24"/>
        </w:rPr>
        <w:t xml:space="preserve">, w tym zwłaszcza postanowienia o dopuszczeniu dowodu z opinii biegłego z zakresu rachunkowości celem wyliczenia należnego </w:t>
      </w:r>
      <w:r w:rsidR="00BB2CE8" w:rsidRPr="007B4CA7">
        <w:rPr>
          <w:rFonts w:ascii="Times New Roman" w:hAnsi="Times New Roman"/>
          <w:sz w:val="24"/>
          <w:szCs w:val="24"/>
        </w:rPr>
        <w:t xml:space="preserve">pracownikowi </w:t>
      </w:r>
      <w:r w:rsidR="00830F13" w:rsidRPr="007B4CA7">
        <w:rPr>
          <w:rFonts w:ascii="Times New Roman" w:hAnsi="Times New Roman"/>
          <w:sz w:val="24"/>
          <w:szCs w:val="24"/>
        </w:rPr>
        <w:t>wynagrodzenia (np. za pracę w godzinach nadliczbowych).</w:t>
      </w:r>
    </w:p>
    <w:p w:rsidR="00830F13" w:rsidRPr="007B4CA7" w:rsidRDefault="00830F13" w:rsidP="007B4CA7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Ponadto aplikanci powinni zapoznać się kwestią prawidłowego </w:t>
      </w:r>
      <w:r w:rsidRPr="007B4CA7">
        <w:rPr>
          <w:rFonts w:ascii="Times New Roman" w:hAnsi="Times New Roman"/>
          <w:b/>
          <w:sz w:val="24"/>
          <w:szCs w:val="24"/>
        </w:rPr>
        <w:t>formułowania sentencji wyroków</w:t>
      </w:r>
      <w:r w:rsidRPr="007B4CA7">
        <w:rPr>
          <w:rFonts w:ascii="Times New Roman" w:hAnsi="Times New Roman"/>
          <w:sz w:val="24"/>
          <w:szCs w:val="24"/>
        </w:rPr>
        <w:t xml:space="preserve"> zasądzających roszczenia pracownicze</w:t>
      </w:r>
      <w:r w:rsidR="00BB2CE8" w:rsidRPr="007B4CA7">
        <w:rPr>
          <w:rFonts w:ascii="Times New Roman" w:hAnsi="Times New Roman"/>
          <w:sz w:val="24"/>
          <w:szCs w:val="24"/>
        </w:rPr>
        <w:t>, a zwłaszcza zakresu nadawanego temu wyrokowi rygoru natychmiastowej wykonalności oraz rozstrzygnięcia o kosztach postępowania. Aplikanci powinni także nabyć w toku praktyki umiejętność prawidłowego</w:t>
      </w:r>
      <w:r w:rsidR="008D6E43" w:rsidRPr="007B4CA7">
        <w:rPr>
          <w:rFonts w:ascii="Times New Roman" w:hAnsi="Times New Roman"/>
          <w:sz w:val="24"/>
          <w:szCs w:val="24"/>
        </w:rPr>
        <w:t xml:space="preserve"> </w:t>
      </w:r>
      <w:r w:rsidR="008D6E43" w:rsidRPr="007B4CA7">
        <w:rPr>
          <w:rFonts w:ascii="Times New Roman" w:hAnsi="Times New Roman"/>
          <w:b/>
          <w:sz w:val="24"/>
          <w:szCs w:val="24"/>
        </w:rPr>
        <w:t>formułowania ugody</w:t>
      </w:r>
      <w:r w:rsidR="008D6E43" w:rsidRPr="007B4CA7">
        <w:rPr>
          <w:rFonts w:ascii="Times New Roman" w:hAnsi="Times New Roman"/>
          <w:sz w:val="24"/>
          <w:szCs w:val="24"/>
        </w:rPr>
        <w:t xml:space="preserve"> w sprawie z </w:t>
      </w:r>
      <w:r w:rsidR="00BB2CE8" w:rsidRPr="007B4CA7">
        <w:rPr>
          <w:rFonts w:ascii="Times New Roman" w:hAnsi="Times New Roman"/>
          <w:sz w:val="24"/>
          <w:szCs w:val="24"/>
        </w:rPr>
        <w:t>zakresu prawa pracy.</w:t>
      </w:r>
    </w:p>
    <w:p w:rsidR="00123B0F" w:rsidRPr="007B4CA7" w:rsidRDefault="00AA67CD" w:rsidP="007B4C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Zaleca się, aby aplikanci w trakcie praktyki zapoznawali się z konkretnymi sprawami </w:t>
      </w:r>
      <w:r w:rsidR="00D6448C" w:rsidRPr="007B4CA7">
        <w:rPr>
          <w:rFonts w:ascii="Times New Roman" w:hAnsi="Times New Roman"/>
          <w:sz w:val="24"/>
          <w:szCs w:val="24"/>
        </w:rPr>
        <w:t xml:space="preserve">z zakresu prawa </w:t>
      </w:r>
      <w:r w:rsidR="00BB2CE8" w:rsidRPr="007B4CA7">
        <w:rPr>
          <w:rFonts w:ascii="Times New Roman" w:hAnsi="Times New Roman"/>
          <w:sz w:val="24"/>
          <w:szCs w:val="24"/>
        </w:rPr>
        <w:t xml:space="preserve">pracy, </w:t>
      </w:r>
      <w:r w:rsidR="00BB2CE8" w:rsidRPr="007B4CA7">
        <w:rPr>
          <w:rFonts w:ascii="Times New Roman" w:hAnsi="Times New Roman"/>
          <w:b/>
          <w:sz w:val="24"/>
          <w:szCs w:val="24"/>
        </w:rPr>
        <w:t>uczestniczyli w posiedzeniach i rozprawach</w:t>
      </w:r>
      <w:r w:rsidR="00BB2CE8" w:rsidRPr="007B4CA7">
        <w:rPr>
          <w:rFonts w:ascii="Times New Roman" w:hAnsi="Times New Roman"/>
          <w:sz w:val="24"/>
          <w:szCs w:val="24"/>
        </w:rPr>
        <w:t xml:space="preserve">, na których te sprawy są rozpoznawane </w:t>
      </w:r>
      <w:r w:rsidR="00F36BCE" w:rsidRPr="007B4CA7">
        <w:rPr>
          <w:rFonts w:ascii="Times New Roman" w:hAnsi="Times New Roman"/>
          <w:sz w:val="24"/>
          <w:szCs w:val="24"/>
        </w:rPr>
        <w:t>oraz aby powierzano im</w:t>
      </w:r>
      <w:r w:rsidR="0030232A" w:rsidRPr="007B4CA7">
        <w:rPr>
          <w:rFonts w:ascii="Times New Roman" w:hAnsi="Times New Roman"/>
          <w:sz w:val="24"/>
          <w:szCs w:val="24"/>
        </w:rPr>
        <w:t xml:space="preserve"> </w:t>
      </w:r>
      <w:r w:rsidR="00F36BCE" w:rsidRPr="007B4CA7">
        <w:rPr>
          <w:rFonts w:ascii="Times New Roman" w:hAnsi="Times New Roman"/>
          <w:sz w:val="24"/>
          <w:szCs w:val="24"/>
        </w:rPr>
        <w:t>jak największą liczbę czynności,</w:t>
      </w:r>
      <w:r w:rsidR="0030232A" w:rsidRPr="007B4CA7">
        <w:rPr>
          <w:rFonts w:ascii="Times New Roman" w:hAnsi="Times New Roman"/>
          <w:sz w:val="24"/>
          <w:szCs w:val="24"/>
        </w:rPr>
        <w:t xml:space="preserve"> </w:t>
      </w:r>
      <w:r w:rsidR="00F36BCE" w:rsidRPr="007B4CA7">
        <w:rPr>
          <w:rFonts w:ascii="Times New Roman" w:hAnsi="Times New Roman"/>
          <w:sz w:val="24"/>
          <w:szCs w:val="24"/>
        </w:rPr>
        <w:t>które pomogą utrwalić im w praktyce</w:t>
      </w:r>
      <w:r w:rsidR="0030232A" w:rsidRPr="007B4CA7">
        <w:rPr>
          <w:rFonts w:ascii="Times New Roman" w:hAnsi="Times New Roman"/>
          <w:sz w:val="24"/>
          <w:szCs w:val="24"/>
        </w:rPr>
        <w:t xml:space="preserve"> </w:t>
      </w:r>
      <w:r w:rsidR="00F36BCE" w:rsidRPr="007B4CA7">
        <w:rPr>
          <w:rFonts w:ascii="Times New Roman" w:hAnsi="Times New Roman"/>
          <w:sz w:val="24"/>
          <w:szCs w:val="24"/>
        </w:rPr>
        <w:t xml:space="preserve">zdobytą podczas zajęć seminaryjnych wiedzę teoretyczną. Szczególny jednak nacisk należy położyć na to, aby podczas praktyki aplikanci opanowali w możliwie najwyższym stopniu umiejętność samodzielnego opracowywania </w:t>
      </w:r>
      <w:r w:rsidR="00A322B3" w:rsidRPr="007B4CA7">
        <w:rPr>
          <w:rFonts w:ascii="Times New Roman" w:hAnsi="Times New Roman"/>
          <w:sz w:val="24"/>
          <w:szCs w:val="24"/>
        </w:rPr>
        <w:t xml:space="preserve">projektów orzeczeń kończących postępowanie w tego rodzaju sprawach, </w:t>
      </w:r>
      <w:r w:rsidR="00123B0F" w:rsidRPr="007B4CA7">
        <w:rPr>
          <w:rFonts w:ascii="Times New Roman" w:hAnsi="Times New Roman"/>
          <w:sz w:val="24"/>
          <w:szCs w:val="24"/>
        </w:rPr>
        <w:t>wraz z </w:t>
      </w:r>
      <w:r w:rsidR="00A322B3" w:rsidRPr="007B4CA7">
        <w:rPr>
          <w:rFonts w:ascii="Times New Roman" w:hAnsi="Times New Roman"/>
          <w:sz w:val="24"/>
          <w:szCs w:val="24"/>
        </w:rPr>
        <w:t>uzasadnieniem.</w:t>
      </w:r>
      <w:r w:rsidR="002D4BA9" w:rsidRPr="007B4CA7">
        <w:rPr>
          <w:rFonts w:ascii="Times New Roman" w:hAnsi="Times New Roman"/>
          <w:sz w:val="24"/>
          <w:szCs w:val="24"/>
        </w:rPr>
        <w:t xml:space="preserve"> </w:t>
      </w:r>
    </w:p>
    <w:p w:rsidR="00F36BCE" w:rsidRPr="007B4CA7" w:rsidRDefault="002D4BA9" w:rsidP="007B4CA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Po zakończonej praktyce zostanie przeprowadzony </w:t>
      </w:r>
      <w:r w:rsidRPr="007B4CA7">
        <w:rPr>
          <w:rFonts w:ascii="Times New Roman" w:hAnsi="Times New Roman"/>
          <w:b/>
          <w:sz w:val="24"/>
          <w:szCs w:val="24"/>
        </w:rPr>
        <w:t>sprawdzian</w:t>
      </w:r>
      <w:r w:rsidRPr="007B4CA7">
        <w:rPr>
          <w:rFonts w:ascii="Times New Roman" w:hAnsi="Times New Roman"/>
          <w:sz w:val="24"/>
          <w:szCs w:val="24"/>
        </w:rPr>
        <w:t xml:space="preserve"> podczas, którego aplikanci będą zobowiązani do  przygotowania projektu wyr</w:t>
      </w:r>
      <w:r w:rsidR="00142C14">
        <w:rPr>
          <w:rFonts w:ascii="Times New Roman" w:hAnsi="Times New Roman"/>
          <w:sz w:val="24"/>
          <w:szCs w:val="24"/>
        </w:rPr>
        <w:t>oku z uzasadnieniem w sprawie z </w:t>
      </w:r>
      <w:r w:rsidRPr="007B4CA7">
        <w:rPr>
          <w:rFonts w:ascii="Times New Roman" w:hAnsi="Times New Roman"/>
          <w:sz w:val="24"/>
          <w:szCs w:val="24"/>
        </w:rPr>
        <w:t>powództwa pracownika kwestionując</w:t>
      </w:r>
      <w:r w:rsidR="0054586E" w:rsidRPr="007B4CA7">
        <w:rPr>
          <w:rFonts w:ascii="Times New Roman" w:hAnsi="Times New Roman"/>
          <w:sz w:val="24"/>
          <w:szCs w:val="24"/>
        </w:rPr>
        <w:t>ego rozwiązanie stosunku pracy.</w:t>
      </w:r>
    </w:p>
    <w:p w:rsidR="00123B0F" w:rsidRPr="007B4CA7" w:rsidRDefault="00123B0F" w:rsidP="007B4CA7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B4CA7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Czynności, które powinny zostać zlecone aplikantowi w trakcie praktyki (czynności obowiązkowe)</w:t>
      </w:r>
    </w:p>
    <w:p w:rsidR="00123B0F" w:rsidRPr="007B4CA7" w:rsidRDefault="00123B0F" w:rsidP="007B4CA7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123B0F" w:rsidRPr="007B4CA7" w:rsidRDefault="00123B0F" w:rsidP="007B4CA7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7B4CA7">
        <w:rPr>
          <w:rFonts w:ascii="Times New Roman" w:hAnsi="Times New Roman"/>
          <w:b/>
          <w:sz w:val="24"/>
          <w:szCs w:val="24"/>
        </w:rPr>
        <w:t>Należy zlecić aplikantowi sporządzenie:</w:t>
      </w:r>
    </w:p>
    <w:p w:rsidR="00123B0F" w:rsidRPr="007B4CA7" w:rsidRDefault="00123B0F" w:rsidP="00D3495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3B0F" w:rsidRPr="00D34955" w:rsidRDefault="00142C14" w:rsidP="00D3495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projektu </w:t>
      </w:r>
      <w:r w:rsidR="008B4E61">
        <w:rPr>
          <w:rFonts w:ascii="Times New Roman" w:hAnsi="Times New Roman"/>
          <w:sz w:val="24"/>
          <w:szCs w:val="24"/>
        </w:rPr>
        <w:t xml:space="preserve">co najmniej jednego projektu </w:t>
      </w:r>
      <w:r w:rsidRPr="007B4CA7">
        <w:rPr>
          <w:rFonts w:ascii="Times New Roman" w:hAnsi="Times New Roman"/>
          <w:sz w:val="24"/>
          <w:szCs w:val="24"/>
        </w:rPr>
        <w:t>orzeczenia wraz z uzasadnieniem</w:t>
      </w:r>
      <w:r w:rsidR="008B4E61">
        <w:rPr>
          <w:rFonts w:ascii="Times New Roman" w:hAnsi="Times New Roman"/>
          <w:sz w:val="24"/>
          <w:szCs w:val="24"/>
        </w:rPr>
        <w:t xml:space="preserve"> w sprawie</w:t>
      </w:r>
      <w:r w:rsidRPr="007B4CA7">
        <w:rPr>
          <w:rFonts w:ascii="Times New Roman" w:hAnsi="Times New Roman"/>
          <w:sz w:val="24"/>
          <w:szCs w:val="24"/>
        </w:rPr>
        <w:t xml:space="preserve"> </w:t>
      </w:r>
      <w:r w:rsidR="00123B0F" w:rsidRPr="007B4CA7">
        <w:rPr>
          <w:rFonts w:ascii="Times New Roman" w:hAnsi="Times New Roman"/>
          <w:sz w:val="24"/>
          <w:szCs w:val="24"/>
        </w:rPr>
        <w:t xml:space="preserve">o </w:t>
      </w:r>
      <w:r w:rsidR="00123B0F" w:rsidRPr="00D34955">
        <w:rPr>
          <w:rFonts w:ascii="Times New Roman" w:hAnsi="Times New Roman"/>
          <w:sz w:val="24"/>
          <w:szCs w:val="24"/>
        </w:rPr>
        <w:t>ustalenie istnienia stosunku</w:t>
      </w:r>
      <w:r w:rsidR="00123B0F" w:rsidRPr="007B4CA7">
        <w:rPr>
          <w:rFonts w:ascii="Times New Roman" w:hAnsi="Times New Roman"/>
          <w:sz w:val="24"/>
          <w:szCs w:val="24"/>
        </w:rPr>
        <w:t xml:space="preserve"> pracy,</w:t>
      </w:r>
    </w:p>
    <w:p w:rsidR="00123B0F" w:rsidRPr="00D34955" w:rsidRDefault="008B4E61" w:rsidP="00D3495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najmniej dwóch</w:t>
      </w:r>
      <w:r w:rsidR="00142C14" w:rsidRPr="00D34955">
        <w:rPr>
          <w:rFonts w:ascii="Times New Roman" w:hAnsi="Times New Roman"/>
          <w:sz w:val="24"/>
          <w:szCs w:val="24"/>
        </w:rPr>
        <w:t xml:space="preserve"> </w:t>
      </w:r>
      <w:r w:rsidR="00142C14" w:rsidRPr="007B4CA7">
        <w:rPr>
          <w:rFonts w:ascii="Times New Roman" w:hAnsi="Times New Roman"/>
          <w:sz w:val="24"/>
          <w:szCs w:val="24"/>
        </w:rPr>
        <w:t>projekt</w:t>
      </w:r>
      <w:r w:rsidR="00142C14" w:rsidRPr="00D34955">
        <w:rPr>
          <w:rFonts w:ascii="Times New Roman" w:hAnsi="Times New Roman"/>
          <w:sz w:val="24"/>
          <w:szCs w:val="24"/>
        </w:rPr>
        <w:t xml:space="preserve">ów orzeczeń wraz z uzasadnieniami w sprawie </w:t>
      </w:r>
      <w:r w:rsidR="00142C14" w:rsidRPr="007B4CA7">
        <w:rPr>
          <w:rFonts w:ascii="Times New Roman" w:hAnsi="Times New Roman"/>
          <w:sz w:val="24"/>
          <w:szCs w:val="24"/>
        </w:rPr>
        <w:t xml:space="preserve"> </w:t>
      </w:r>
      <w:r w:rsidR="00123B0F" w:rsidRPr="007B4CA7">
        <w:rPr>
          <w:rFonts w:ascii="Times New Roman" w:hAnsi="Times New Roman"/>
          <w:sz w:val="24"/>
          <w:szCs w:val="24"/>
        </w:rPr>
        <w:t xml:space="preserve">o </w:t>
      </w:r>
      <w:r w:rsidR="00D34955">
        <w:rPr>
          <w:rFonts w:ascii="Times New Roman" w:hAnsi="Times New Roman"/>
          <w:sz w:val="24"/>
          <w:szCs w:val="24"/>
        </w:rPr>
        <w:t>przywrócenie do pracy lub o </w:t>
      </w:r>
      <w:r w:rsidR="00123B0F" w:rsidRPr="00D34955">
        <w:rPr>
          <w:rFonts w:ascii="Times New Roman" w:hAnsi="Times New Roman"/>
          <w:sz w:val="24"/>
          <w:szCs w:val="24"/>
        </w:rPr>
        <w:t>odszkodowanie za niezgodne z prawem rozwiązanie umowy o pracę bez wypowiedzenia/za wypowiedzeniem,</w:t>
      </w:r>
    </w:p>
    <w:p w:rsidR="00123B0F" w:rsidRPr="007B4CA7" w:rsidRDefault="00142C14" w:rsidP="00D3495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projektu </w:t>
      </w:r>
      <w:r w:rsidR="008B4E61">
        <w:rPr>
          <w:rFonts w:ascii="Times New Roman" w:hAnsi="Times New Roman"/>
          <w:sz w:val="24"/>
          <w:szCs w:val="24"/>
        </w:rPr>
        <w:t xml:space="preserve">co najmniej jednego </w:t>
      </w:r>
      <w:r w:rsidRPr="007B4CA7">
        <w:rPr>
          <w:rFonts w:ascii="Times New Roman" w:hAnsi="Times New Roman"/>
          <w:sz w:val="24"/>
          <w:szCs w:val="24"/>
        </w:rPr>
        <w:t>orzeczenia wraz z uzasadnieniem</w:t>
      </w:r>
      <w:r w:rsidRPr="00D34955">
        <w:rPr>
          <w:rFonts w:ascii="Times New Roman" w:hAnsi="Times New Roman"/>
          <w:sz w:val="24"/>
          <w:szCs w:val="24"/>
        </w:rPr>
        <w:t xml:space="preserve"> w sprawie </w:t>
      </w:r>
      <w:r w:rsidRPr="007B4CA7">
        <w:rPr>
          <w:rFonts w:ascii="Times New Roman" w:hAnsi="Times New Roman"/>
          <w:sz w:val="24"/>
          <w:szCs w:val="24"/>
        </w:rPr>
        <w:t xml:space="preserve"> o </w:t>
      </w:r>
      <w:r w:rsidR="00123B0F" w:rsidRPr="00D34955">
        <w:rPr>
          <w:rFonts w:ascii="Times New Roman" w:hAnsi="Times New Roman"/>
          <w:sz w:val="24"/>
          <w:szCs w:val="24"/>
        </w:rPr>
        <w:t>sprostowanie świadectwa pracy lub związanych z odpowiedzialnością pracowników za szkodę wyrządzoną</w:t>
      </w:r>
      <w:r w:rsidR="00123B0F" w:rsidRPr="007B4CA7">
        <w:rPr>
          <w:rFonts w:ascii="Times New Roman" w:hAnsi="Times New Roman"/>
          <w:sz w:val="24"/>
          <w:szCs w:val="24"/>
        </w:rPr>
        <w:t xml:space="preserve"> pracodawcy/za mienie powierzone</w:t>
      </w:r>
      <w:r w:rsidR="007B4CA7" w:rsidRPr="00D34955">
        <w:rPr>
          <w:rFonts w:ascii="Times New Roman" w:hAnsi="Times New Roman"/>
          <w:sz w:val="24"/>
          <w:szCs w:val="24"/>
        </w:rPr>
        <w:t xml:space="preserve"> lub o </w:t>
      </w:r>
      <w:r w:rsidR="00123B0F" w:rsidRPr="00D34955">
        <w:rPr>
          <w:rFonts w:ascii="Times New Roman" w:hAnsi="Times New Roman"/>
          <w:sz w:val="24"/>
          <w:szCs w:val="24"/>
        </w:rPr>
        <w:t>uchylenie kary porządkowej</w:t>
      </w:r>
      <w:r w:rsidR="00D34955">
        <w:rPr>
          <w:rFonts w:ascii="Times New Roman" w:hAnsi="Times New Roman"/>
          <w:sz w:val="24"/>
          <w:szCs w:val="24"/>
        </w:rPr>
        <w:t>,</w:t>
      </w:r>
    </w:p>
    <w:p w:rsidR="00123B0F" w:rsidRPr="007B4CA7" w:rsidRDefault="00123B0F" w:rsidP="007B4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 xml:space="preserve">projektu </w:t>
      </w:r>
      <w:r w:rsidR="008B4E61">
        <w:rPr>
          <w:rFonts w:ascii="Times New Roman" w:hAnsi="Times New Roman"/>
          <w:sz w:val="24"/>
          <w:szCs w:val="24"/>
        </w:rPr>
        <w:t xml:space="preserve">co najmniej jednego </w:t>
      </w:r>
      <w:r w:rsidRPr="007B4CA7">
        <w:rPr>
          <w:rFonts w:ascii="Times New Roman" w:hAnsi="Times New Roman"/>
          <w:sz w:val="24"/>
          <w:szCs w:val="24"/>
        </w:rPr>
        <w:t>postanowienia o dopuszczeniu dowodu z opinii biegłego z zakresu rachunkowości w sprawie o wynagrodzenie za pracę w godzinach nadliczbowych oraz odezwy do biegłego.</w:t>
      </w:r>
    </w:p>
    <w:p w:rsidR="00123B0F" w:rsidRDefault="00123B0F" w:rsidP="007B4CA7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40"/>
        <w:jc w:val="both"/>
        <w:rPr>
          <w:sz w:val="24"/>
          <w:szCs w:val="24"/>
        </w:rPr>
      </w:pPr>
    </w:p>
    <w:p w:rsidR="007B4CA7" w:rsidRPr="00F215E0" w:rsidRDefault="007B4CA7" w:rsidP="007B4C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5E0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F215E0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F215E0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:rsidR="007B4CA7" w:rsidRPr="00F215E0" w:rsidRDefault="007B4CA7" w:rsidP="007B4CA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15E0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:rsidR="007B4CA7" w:rsidRPr="007B4CA7" w:rsidRDefault="007B4CA7" w:rsidP="007B4CA7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40"/>
        <w:jc w:val="both"/>
        <w:rPr>
          <w:sz w:val="24"/>
          <w:szCs w:val="24"/>
        </w:rPr>
      </w:pPr>
    </w:p>
    <w:p w:rsidR="00123B0F" w:rsidRPr="007B4CA7" w:rsidRDefault="00123B0F" w:rsidP="007B4CA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23B0F" w:rsidRPr="007B4CA7" w:rsidRDefault="00123B0F" w:rsidP="007B4CA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31F5C" w:rsidRPr="007B4CA7" w:rsidRDefault="00531F5C" w:rsidP="007B4CA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Kierownik Działu Dydaktycznego OAS</w:t>
      </w:r>
    </w:p>
    <w:p w:rsidR="00531F5C" w:rsidRPr="007B4CA7" w:rsidRDefault="002D4BA9" w:rsidP="007B4CA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dr Mariusz Kucharczyk</w:t>
      </w:r>
    </w:p>
    <w:p w:rsidR="00775A12" w:rsidRPr="007B4CA7" w:rsidRDefault="00531F5C" w:rsidP="005F2DC9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7B4CA7">
        <w:rPr>
          <w:rFonts w:ascii="Times New Roman" w:hAnsi="Times New Roman"/>
          <w:sz w:val="24"/>
          <w:szCs w:val="24"/>
        </w:rPr>
        <w:t>sędzia</w:t>
      </w:r>
    </w:p>
    <w:sectPr w:rsidR="00775A12" w:rsidRPr="007B4CA7" w:rsidSect="000B0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1B" w:rsidRDefault="00157D1B" w:rsidP="00AA67CD">
      <w:pPr>
        <w:spacing w:after="0" w:line="240" w:lineRule="auto"/>
      </w:pPr>
      <w:r>
        <w:separator/>
      </w:r>
    </w:p>
  </w:endnote>
  <w:endnote w:type="continuationSeparator" w:id="0">
    <w:p w:rsidR="00157D1B" w:rsidRDefault="00157D1B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1B" w:rsidRDefault="00157D1B" w:rsidP="00AA67CD">
      <w:pPr>
        <w:spacing w:after="0" w:line="240" w:lineRule="auto"/>
      </w:pPr>
      <w:r>
        <w:separator/>
      </w:r>
    </w:p>
  </w:footnote>
  <w:footnote w:type="continuationSeparator" w:id="0">
    <w:p w:rsidR="00157D1B" w:rsidRDefault="00157D1B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CE869D98"/>
    <w:lvl w:ilvl="0" w:tplc="4CC6B99E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1620"/>
    <w:multiLevelType w:val="hybridMultilevel"/>
    <w:tmpl w:val="66D210B6"/>
    <w:lvl w:ilvl="0" w:tplc="640A6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21BD0968"/>
    <w:multiLevelType w:val="hybridMultilevel"/>
    <w:tmpl w:val="BD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4A04BE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F3B21"/>
    <w:multiLevelType w:val="hybridMultilevel"/>
    <w:tmpl w:val="8B8E6738"/>
    <w:lvl w:ilvl="0" w:tplc="2C6EF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1E5533F"/>
    <w:multiLevelType w:val="hybridMultilevel"/>
    <w:tmpl w:val="900A7CDC"/>
    <w:lvl w:ilvl="0" w:tplc="67DE0A92">
      <w:start w:val="1"/>
      <w:numFmt w:val="lowerLetter"/>
      <w:lvlText w:val="%1)"/>
      <w:lvlJc w:val="left"/>
      <w:pPr>
        <w:ind w:left="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B37FF"/>
    <w:multiLevelType w:val="hybridMultilevel"/>
    <w:tmpl w:val="ECCA9DF6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FC67EB"/>
    <w:multiLevelType w:val="hybridMultilevel"/>
    <w:tmpl w:val="69AC5C3C"/>
    <w:lvl w:ilvl="0" w:tplc="E30E20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AF364C"/>
    <w:multiLevelType w:val="hybridMultilevel"/>
    <w:tmpl w:val="2D78DCA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25"/>
  </w:num>
  <w:num w:numId="5">
    <w:abstractNumId w:val="27"/>
  </w:num>
  <w:num w:numId="6">
    <w:abstractNumId w:val="12"/>
  </w:num>
  <w:num w:numId="7">
    <w:abstractNumId w:val="26"/>
  </w:num>
  <w:num w:numId="8">
    <w:abstractNumId w:val="16"/>
  </w:num>
  <w:num w:numId="9">
    <w:abstractNumId w:val="11"/>
  </w:num>
  <w:num w:numId="10">
    <w:abstractNumId w:val="29"/>
  </w:num>
  <w:num w:numId="11">
    <w:abstractNumId w:val="8"/>
  </w:num>
  <w:num w:numId="12">
    <w:abstractNumId w:val="15"/>
  </w:num>
  <w:num w:numId="13">
    <w:abstractNumId w:val="18"/>
  </w:num>
  <w:num w:numId="14">
    <w:abstractNumId w:val="23"/>
  </w:num>
  <w:num w:numId="15">
    <w:abstractNumId w:val="3"/>
  </w:num>
  <w:num w:numId="16">
    <w:abstractNumId w:val="19"/>
  </w:num>
  <w:num w:numId="17">
    <w:abstractNumId w:val="14"/>
  </w:num>
  <w:num w:numId="18">
    <w:abstractNumId w:val="6"/>
  </w:num>
  <w:num w:numId="19">
    <w:abstractNumId w:val="20"/>
  </w:num>
  <w:num w:numId="20">
    <w:abstractNumId w:val="7"/>
  </w:num>
  <w:num w:numId="21">
    <w:abstractNumId w:val="24"/>
  </w:num>
  <w:num w:numId="22">
    <w:abstractNumId w:val="4"/>
  </w:num>
  <w:num w:numId="23">
    <w:abstractNumId w:val="2"/>
  </w:num>
  <w:num w:numId="24">
    <w:abstractNumId w:val="21"/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122F"/>
    <w:rsid w:val="00040054"/>
    <w:rsid w:val="0008304C"/>
    <w:rsid w:val="00085E89"/>
    <w:rsid w:val="000B00E7"/>
    <w:rsid w:val="000D378A"/>
    <w:rsid w:val="00123B0F"/>
    <w:rsid w:val="00142C14"/>
    <w:rsid w:val="00157D1B"/>
    <w:rsid w:val="001810FD"/>
    <w:rsid w:val="00195D0B"/>
    <w:rsid w:val="001C5C56"/>
    <w:rsid w:val="001D5E58"/>
    <w:rsid w:val="001E5109"/>
    <w:rsid w:val="001F7981"/>
    <w:rsid w:val="001F7B28"/>
    <w:rsid w:val="00225EE4"/>
    <w:rsid w:val="002519D5"/>
    <w:rsid w:val="002966E0"/>
    <w:rsid w:val="002A77D9"/>
    <w:rsid w:val="002B243B"/>
    <w:rsid w:val="002D4BA9"/>
    <w:rsid w:val="002F29BC"/>
    <w:rsid w:val="0030232A"/>
    <w:rsid w:val="00320FA7"/>
    <w:rsid w:val="00323537"/>
    <w:rsid w:val="00417D3D"/>
    <w:rsid w:val="00476E44"/>
    <w:rsid w:val="00485B99"/>
    <w:rsid w:val="0049107A"/>
    <w:rsid w:val="004C2C39"/>
    <w:rsid w:val="00523DB5"/>
    <w:rsid w:val="00527FFC"/>
    <w:rsid w:val="005316FA"/>
    <w:rsid w:val="00531F5C"/>
    <w:rsid w:val="00534FC5"/>
    <w:rsid w:val="0054586E"/>
    <w:rsid w:val="005800A4"/>
    <w:rsid w:val="00587AAC"/>
    <w:rsid w:val="005C6488"/>
    <w:rsid w:val="005F2DC9"/>
    <w:rsid w:val="00666F77"/>
    <w:rsid w:val="00667C90"/>
    <w:rsid w:val="0067695C"/>
    <w:rsid w:val="00682245"/>
    <w:rsid w:val="00694CE4"/>
    <w:rsid w:val="006B1A06"/>
    <w:rsid w:val="006D7F5D"/>
    <w:rsid w:val="006E1816"/>
    <w:rsid w:val="006E6B11"/>
    <w:rsid w:val="007007FA"/>
    <w:rsid w:val="00713CE2"/>
    <w:rsid w:val="00751384"/>
    <w:rsid w:val="007A6EE6"/>
    <w:rsid w:val="007B4CA7"/>
    <w:rsid w:val="007B6F11"/>
    <w:rsid w:val="007C3A8C"/>
    <w:rsid w:val="007D5A2F"/>
    <w:rsid w:val="007F28CC"/>
    <w:rsid w:val="00830F13"/>
    <w:rsid w:val="00830FA7"/>
    <w:rsid w:val="00862C43"/>
    <w:rsid w:val="00863359"/>
    <w:rsid w:val="008679A3"/>
    <w:rsid w:val="0088627E"/>
    <w:rsid w:val="008B4E61"/>
    <w:rsid w:val="008C32A1"/>
    <w:rsid w:val="008C3394"/>
    <w:rsid w:val="008D6E43"/>
    <w:rsid w:val="008F18D4"/>
    <w:rsid w:val="008F28C0"/>
    <w:rsid w:val="008F4E3E"/>
    <w:rsid w:val="009135B9"/>
    <w:rsid w:val="009E0CFB"/>
    <w:rsid w:val="00A24D29"/>
    <w:rsid w:val="00A322B3"/>
    <w:rsid w:val="00A76E09"/>
    <w:rsid w:val="00A83C8B"/>
    <w:rsid w:val="00AA67CD"/>
    <w:rsid w:val="00AC5837"/>
    <w:rsid w:val="00AC7DA6"/>
    <w:rsid w:val="00B03962"/>
    <w:rsid w:val="00B27341"/>
    <w:rsid w:val="00B71D49"/>
    <w:rsid w:val="00B74437"/>
    <w:rsid w:val="00B81B62"/>
    <w:rsid w:val="00BB2CE8"/>
    <w:rsid w:val="00BD1CAA"/>
    <w:rsid w:val="00C05A5C"/>
    <w:rsid w:val="00C66B40"/>
    <w:rsid w:val="00D12F5C"/>
    <w:rsid w:val="00D30E62"/>
    <w:rsid w:val="00D34955"/>
    <w:rsid w:val="00D5757D"/>
    <w:rsid w:val="00D6448C"/>
    <w:rsid w:val="00D84572"/>
    <w:rsid w:val="00DA0770"/>
    <w:rsid w:val="00DD3B36"/>
    <w:rsid w:val="00E431A5"/>
    <w:rsid w:val="00E7483E"/>
    <w:rsid w:val="00E92173"/>
    <w:rsid w:val="00F306D3"/>
    <w:rsid w:val="00F36BCE"/>
    <w:rsid w:val="00FA6330"/>
    <w:rsid w:val="00FA63EE"/>
    <w:rsid w:val="00FA6A54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28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123B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23B0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28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123B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23B0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2524-F03C-46C0-B0A7-E02C472A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2022-06-29T11:44:00Z</dcterms:created>
  <dcterms:modified xsi:type="dcterms:W3CDTF">2022-06-29T11:44:00Z</dcterms:modified>
</cp:coreProperties>
</file>