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DB" w:rsidRPr="00753C46" w:rsidRDefault="004C2C31" w:rsidP="00F82D63">
      <w:pPr>
        <w:spacing w:after="0" w:line="324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753C46">
        <w:rPr>
          <w:rFonts w:cstheme="minorHAnsi"/>
          <w:i/>
          <w:sz w:val="24"/>
          <w:szCs w:val="24"/>
        </w:rPr>
        <w:t>Zalecenia w sprawie praktyk odbywanych przez aplikantów X</w:t>
      </w:r>
      <w:r w:rsidR="00753C46" w:rsidRPr="00753C46">
        <w:rPr>
          <w:rFonts w:cstheme="minorHAnsi"/>
          <w:i/>
          <w:sz w:val="24"/>
          <w:szCs w:val="24"/>
        </w:rPr>
        <w:t>IV</w:t>
      </w:r>
      <w:r w:rsidRPr="00753C46">
        <w:rPr>
          <w:rFonts w:cstheme="minorHAnsi"/>
          <w:i/>
          <w:sz w:val="24"/>
          <w:szCs w:val="24"/>
        </w:rPr>
        <w:t xml:space="preserve"> rocznika aplikacji sędziowskiej po</w:t>
      </w:r>
      <w:r w:rsidR="005264AE">
        <w:rPr>
          <w:rFonts w:cstheme="minorHAnsi"/>
          <w:i/>
          <w:sz w:val="24"/>
          <w:szCs w:val="24"/>
        </w:rPr>
        <w:t> </w:t>
      </w:r>
      <w:r w:rsidRPr="00753C46">
        <w:rPr>
          <w:rFonts w:cstheme="minorHAnsi"/>
          <w:i/>
          <w:sz w:val="24"/>
          <w:szCs w:val="24"/>
        </w:rPr>
        <w:t>zjazdach 2</w:t>
      </w:r>
      <w:r w:rsidR="00753C46" w:rsidRPr="00753C46">
        <w:rPr>
          <w:rFonts w:cstheme="minorHAnsi"/>
          <w:i/>
          <w:sz w:val="24"/>
          <w:szCs w:val="24"/>
        </w:rPr>
        <w:t>6</w:t>
      </w:r>
      <w:r w:rsidRPr="00753C46">
        <w:rPr>
          <w:rFonts w:cstheme="minorHAnsi"/>
          <w:i/>
          <w:sz w:val="24"/>
          <w:szCs w:val="24"/>
        </w:rPr>
        <w:t xml:space="preserve"> i 2</w:t>
      </w:r>
      <w:r w:rsidR="00753C46" w:rsidRPr="00753C46">
        <w:rPr>
          <w:rFonts w:cstheme="minorHAnsi"/>
          <w:i/>
          <w:sz w:val="24"/>
          <w:szCs w:val="24"/>
        </w:rPr>
        <w:t>7</w:t>
      </w:r>
      <w:r w:rsidRPr="00753C46">
        <w:rPr>
          <w:rFonts w:cstheme="minorHAnsi"/>
          <w:i/>
          <w:sz w:val="24"/>
          <w:szCs w:val="24"/>
        </w:rPr>
        <w:t xml:space="preserve">. </w:t>
      </w:r>
    </w:p>
    <w:p w:rsidR="004C2C31" w:rsidRPr="00753C46" w:rsidRDefault="004C2C31" w:rsidP="00F82D63">
      <w:pPr>
        <w:spacing w:after="0" w:line="324" w:lineRule="auto"/>
        <w:ind w:firstLine="4961"/>
        <w:rPr>
          <w:rFonts w:cstheme="minorHAnsi"/>
          <w:b/>
          <w:sz w:val="24"/>
          <w:szCs w:val="24"/>
        </w:rPr>
      </w:pPr>
      <w:r w:rsidRPr="00753C46">
        <w:rPr>
          <w:rFonts w:cstheme="minorHAnsi"/>
          <w:b/>
          <w:sz w:val="24"/>
          <w:szCs w:val="24"/>
        </w:rPr>
        <w:t>Do</w:t>
      </w:r>
    </w:p>
    <w:p w:rsidR="004C2C31" w:rsidRPr="00753C46" w:rsidRDefault="004C2C31" w:rsidP="00F82D63">
      <w:pPr>
        <w:spacing w:after="0" w:line="324" w:lineRule="auto"/>
        <w:ind w:firstLine="4961"/>
        <w:rPr>
          <w:rFonts w:cstheme="minorHAnsi"/>
          <w:b/>
          <w:sz w:val="24"/>
          <w:szCs w:val="24"/>
        </w:rPr>
      </w:pPr>
      <w:r w:rsidRPr="00753C46">
        <w:rPr>
          <w:rFonts w:cstheme="minorHAnsi"/>
          <w:b/>
          <w:sz w:val="24"/>
          <w:szCs w:val="24"/>
        </w:rPr>
        <w:t>Patronów praktyk</w:t>
      </w:r>
    </w:p>
    <w:p w:rsidR="004C2C31" w:rsidRPr="00753C46" w:rsidRDefault="004C2C31" w:rsidP="00F82D63">
      <w:pPr>
        <w:spacing w:after="0" w:line="324" w:lineRule="auto"/>
        <w:ind w:firstLine="4961"/>
        <w:rPr>
          <w:rFonts w:cstheme="minorHAnsi"/>
          <w:b/>
          <w:sz w:val="24"/>
          <w:szCs w:val="24"/>
        </w:rPr>
      </w:pPr>
      <w:r w:rsidRPr="00753C46">
        <w:rPr>
          <w:rFonts w:cstheme="minorHAnsi"/>
          <w:b/>
          <w:sz w:val="24"/>
          <w:szCs w:val="24"/>
        </w:rPr>
        <w:t>oraz Patronów koordynatorów</w:t>
      </w:r>
    </w:p>
    <w:p w:rsidR="004C2C31" w:rsidRPr="00753C46" w:rsidRDefault="004C2C31" w:rsidP="00F82D63">
      <w:pPr>
        <w:spacing w:after="0" w:line="324" w:lineRule="auto"/>
        <w:ind w:firstLine="4961"/>
        <w:rPr>
          <w:rFonts w:cstheme="minorHAnsi"/>
          <w:b/>
          <w:sz w:val="24"/>
          <w:szCs w:val="24"/>
        </w:rPr>
      </w:pPr>
      <w:r w:rsidRPr="00753C46">
        <w:rPr>
          <w:rFonts w:cstheme="minorHAnsi"/>
          <w:b/>
          <w:sz w:val="24"/>
          <w:szCs w:val="24"/>
        </w:rPr>
        <w:t>aplikantów aplikacji sędziowskiej</w:t>
      </w:r>
    </w:p>
    <w:p w:rsidR="004C2C31" w:rsidRPr="00753C46" w:rsidRDefault="004C2C31" w:rsidP="00F82D63">
      <w:pPr>
        <w:spacing w:after="0" w:line="324" w:lineRule="auto"/>
        <w:rPr>
          <w:rFonts w:cstheme="minorHAnsi"/>
          <w:b/>
          <w:sz w:val="24"/>
          <w:szCs w:val="24"/>
        </w:rPr>
      </w:pPr>
    </w:p>
    <w:p w:rsidR="004C2C31" w:rsidRPr="00747E78" w:rsidRDefault="004C2C31" w:rsidP="00F82D63">
      <w:pPr>
        <w:pStyle w:val="Akapitzlist"/>
        <w:numPr>
          <w:ilvl w:val="0"/>
          <w:numId w:val="1"/>
        </w:numPr>
        <w:spacing w:after="120" w:line="324" w:lineRule="auto"/>
        <w:ind w:left="714" w:hanging="357"/>
        <w:contextualSpacing w:val="0"/>
        <w:rPr>
          <w:rFonts w:cstheme="minorHAnsi"/>
          <w:b/>
          <w:sz w:val="26"/>
          <w:szCs w:val="26"/>
        </w:rPr>
      </w:pPr>
      <w:r w:rsidRPr="00747E78">
        <w:rPr>
          <w:rFonts w:cstheme="minorHAnsi"/>
          <w:b/>
          <w:sz w:val="26"/>
          <w:szCs w:val="26"/>
        </w:rPr>
        <w:t>Ogólne założenia co do przebiegu praktyk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Założeniem praktyki co do zasady jest zaznajomienie aplikantów z czynnościami i metodyką pracy sędziego oraz doskonalenie umiejętności wykorzystania wiedzy teoretycznej i</w:t>
      </w:r>
      <w:r w:rsidR="005264AE">
        <w:rPr>
          <w:rFonts w:cstheme="minorHAnsi"/>
          <w:sz w:val="24"/>
          <w:szCs w:val="24"/>
        </w:rPr>
        <w:t> </w:t>
      </w:r>
      <w:r w:rsidRPr="00753C46">
        <w:rPr>
          <w:rFonts w:cstheme="minorHAnsi"/>
          <w:sz w:val="24"/>
          <w:szCs w:val="24"/>
        </w:rPr>
        <w:t xml:space="preserve">znajomości orzecznictwa. Praktyka winna utrwalać wiedzę zdobytą podczas bezpośrednio poprzedzających ją zajęć seminaryjnych w ramach zjazdu. 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</w:rPr>
        <w:t xml:space="preserve">Patron praktyki </w:t>
      </w:r>
      <w:r w:rsidRPr="00753C46">
        <w:rPr>
          <w:rFonts w:eastAsia="Times New Roman" w:cstheme="minorHAnsi"/>
          <w:b/>
          <w:sz w:val="24"/>
          <w:szCs w:val="24"/>
        </w:rPr>
        <w:t>ma obowiązek</w:t>
      </w:r>
      <w:r w:rsidRPr="00753C46">
        <w:rPr>
          <w:rFonts w:eastAsia="Times New Roman" w:cstheme="minorHAnsi"/>
          <w:sz w:val="24"/>
          <w:szCs w:val="24"/>
        </w:rPr>
        <w:t xml:space="preserve"> omówić z aplikantem cel, szczegółowy zakres tematyczny praktyki i jej planowany przebieg oraz zapoznać aplikanta ze swoim stanowiskiem pracy i</w:t>
      </w:r>
      <w:r w:rsidR="005264AE">
        <w:rPr>
          <w:rFonts w:eastAsia="Times New Roman" w:cstheme="minorHAnsi"/>
          <w:sz w:val="24"/>
          <w:szCs w:val="24"/>
        </w:rPr>
        <w:t> </w:t>
      </w:r>
      <w:r w:rsidRPr="00753C46">
        <w:rPr>
          <w:rFonts w:eastAsia="Times New Roman" w:cstheme="minorHAnsi"/>
          <w:sz w:val="24"/>
          <w:szCs w:val="24"/>
        </w:rPr>
        <w:t xml:space="preserve">strukturą organizacyjną jednostki, w której jest zatrudniony. 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</w:rPr>
        <w:t xml:space="preserve">Patron praktyki </w:t>
      </w:r>
      <w:r w:rsidRPr="00753C46">
        <w:rPr>
          <w:rFonts w:eastAsia="Times New Roman" w:cstheme="minorHAnsi"/>
          <w:b/>
          <w:sz w:val="24"/>
          <w:szCs w:val="24"/>
        </w:rPr>
        <w:t>powinien w pierwszej kolejności</w:t>
      </w:r>
      <w:r w:rsidRPr="00753C46">
        <w:rPr>
          <w:rFonts w:eastAsia="Times New Roman" w:cstheme="minorHAnsi"/>
          <w:sz w:val="24"/>
          <w:szCs w:val="24"/>
        </w:rPr>
        <w:t xml:space="preserve"> powierzać aplikantowi wykonanie czynności określonych </w:t>
      </w:r>
      <w:r w:rsidRPr="00753C46">
        <w:rPr>
          <w:rFonts w:cstheme="minorHAnsi"/>
          <w:noProof/>
          <w:sz w:val="24"/>
          <w:szCs w:val="24"/>
        </w:rPr>
        <w:t xml:space="preserve">w zaleceniach dotyczących przebiegu praktyki po konkretnym zjeździe (czynności obowiązkowe), </w:t>
      </w:r>
      <w:r w:rsidRPr="00753C46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753C46">
        <w:rPr>
          <w:rFonts w:eastAsia="Times New Roman" w:cstheme="minorHAnsi"/>
          <w:sz w:val="24"/>
          <w:szCs w:val="24"/>
          <w:u w:val="single"/>
        </w:rPr>
        <w:t>kontrolować prawidłowość ich wykonania.</w:t>
      </w:r>
      <w:r w:rsidRPr="00753C46">
        <w:rPr>
          <w:rFonts w:eastAsia="Times New Roman" w:cstheme="minorHAnsi"/>
          <w:sz w:val="24"/>
          <w:szCs w:val="24"/>
        </w:rPr>
        <w:t xml:space="preserve"> Niemniej jednak możliwe jest także powierzanie aplikantowi innych niewymienionych w zaleceniach czynności do wykonania </w:t>
      </w:r>
      <w:r w:rsidR="005264AE">
        <w:rPr>
          <w:rFonts w:eastAsia="Times New Roman" w:cstheme="minorHAnsi"/>
          <w:sz w:val="24"/>
          <w:szCs w:val="24"/>
        </w:rPr>
        <w:t>–</w:t>
      </w:r>
      <w:r w:rsidRPr="00753C46">
        <w:rPr>
          <w:rFonts w:eastAsia="Times New Roman" w:cstheme="minorHAnsi"/>
          <w:sz w:val="24"/>
          <w:szCs w:val="24"/>
        </w:rPr>
        <w:t xml:space="preserve"> w</w:t>
      </w:r>
      <w:r w:rsidR="005264AE">
        <w:rPr>
          <w:rFonts w:eastAsia="Times New Roman" w:cstheme="minorHAnsi"/>
          <w:sz w:val="24"/>
          <w:szCs w:val="24"/>
        </w:rPr>
        <w:t> </w:t>
      </w:r>
      <w:r w:rsidRPr="00753C46">
        <w:rPr>
          <w:rFonts w:eastAsia="Times New Roman" w:cstheme="minorHAnsi"/>
          <w:sz w:val="24"/>
          <w:szCs w:val="24"/>
        </w:rPr>
        <w:t xml:space="preserve">ramach tematyki zjazdów. 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753C46">
        <w:rPr>
          <w:rFonts w:cstheme="minorHAnsi"/>
          <w:sz w:val="24"/>
          <w:szCs w:val="24"/>
        </w:rPr>
        <w:t>W sytuacji, gdy po zakończeniu praktyki aplikanci będą pisać sprawdzian, patron praktyki winien zwrócić szczególną uwagę na nabycie przez aplikantów umiejętności samodzielnego opracowywania projektów orzeczeń/czynności procesowych będących przedmiotem sprawdzianu.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</w:t>
      </w:r>
    </w:p>
    <w:p w:rsidR="004C2C31" w:rsidRPr="00753C46" w:rsidRDefault="004C2C31" w:rsidP="00F82D63">
      <w:pPr>
        <w:spacing w:after="120" w:line="324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753C46">
        <w:rPr>
          <w:rFonts w:eastAsia="Times New Roman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753C46">
        <w:rPr>
          <w:rFonts w:eastAsia="Times New Roman" w:cstheme="minorHAnsi"/>
          <w:sz w:val="24"/>
          <w:szCs w:val="24"/>
        </w:rPr>
        <w:t>j, które znajduje się na stronie internetowej Krajowej Szkoły Sądownictwa i</w:t>
      </w:r>
      <w:r w:rsidR="005264AE">
        <w:rPr>
          <w:rFonts w:eastAsia="Times New Roman" w:cstheme="minorHAnsi"/>
          <w:sz w:val="24"/>
          <w:szCs w:val="24"/>
        </w:rPr>
        <w:t> </w:t>
      </w:r>
      <w:r w:rsidRPr="00753C46">
        <w:rPr>
          <w:rFonts w:eastAsia="Times New Roman" w:cstheme="minorHAnsi"/>
          <w:sz w:val="24"/>
          <w:szCs w:val="24"/>
        </w:rPr>
        <w:t>Prokuratury pod adresem</w:t>
      </w:r>
      <w:r w:rsidRPr="00753C46">
        <w:rPr>
          <w:rFonts w:cstheme="minorHAnsi"/>
          <w:sz w:val="24"/>
          <w:szCs w:val="24"/>
        </w:rPr>
        <w:t xml:space="preserve"> </w:t>
      </w:r>
      <w:hyperlink r:id="rId7" w:history="1">
        <w:r w:rsidRPr="00753C46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Pr="00753C46">
        <w:rPr>
          <w:rFonts w:eastAsia="Times New Roman" w:cstheme="minorHAnsi"/>
          <w:sz w:val="24"/>
          <w:szCs w:val="24"/>
        </w:rPr>
        <w:tab/>
      </w:r>
    </w:p>
    <w:p w:rsidR="00B53009" w:rsidRPr="00747E78" w:rsidRDefault="004C2C31" w:rsidP="00F82D63">
      <w:pPr>
        <w:pStyle w:val="Akapitzlist"/>
        <w:numPr>
          <w:ilvl w:val="0"/>
          <w:numId w:val="1"/>
        </w:numPr>
        <w:spacing w:after="0" w:line="324" w:lineRule="auto"/>
        <w:ind w:left="357"/>
        <w:contextualSpacing w:val="0"/>
        <w:jc w:val="both"/>
        <w:rPr>
          <w:rFonts w:cstheme="minorHAnsi"/>
          <w:b/>
          <w:sz w:val="26"/>
          <w:szCs w:val="26"/>
        </w:rPr>
      </w:pPr>
      <w:r w:rsidRPr="00747E78">
        <w:rPr>
          <w:rFonts w:eastAsia="Times New Roman" w:cstheme="minorHAnsi"/>
          <w:b/>
          <w:sz w:val="26"/>
          <w:szCs w:val="26"/>
        </w:rPr>
        <w:lastRenderedPageBreak/>
        <w:t xml:space="preserve">Schemat organizacyjny praktyk </w:t>
      </w:r>
      <w:r w:rsidR="00FB1C43" w:rsidRPr="00747E78">
        <w:rPr>
          <w:rFonts w:eastAsia="Times New Roman" w:cstheme="minorHAnsi"/>
          <w:b/>
          <w:sz w:val="26"/>
          <w:szCs w:val="26"/>
        </w:rPr>
        <w:t>w</w:t>
      </w:r>
      <w:r w:rsidR="00B73DEE" w:rsidRPr="00747E78">
        <w:rPr>
          <w:rFonts w:cstheme="minorHAnsi"/>
          <w:b/>
          <w:sz w:val="26"/>
          <w:szCs w:val="26"/>
        </w:rPr>
        <w:t xml:space="preserve"> wydziale pracy albo wydziale pracy i ubezpieczeń społecznych</w:t>
      </w:r>
      <w:r w:rsidR="00FB1C43" w:rsidRPr="00747E78">
        <w:rPr>
          <w:rFonts w:cstheme="minorHAnsi"/>
          <w:b/>
          <w:sz w:val="26"/>
          <w:szCs w:val="26"/>
        </w:rPr>
        <w:t>.</w:t>
      </w:r>
    </w:p>
    <w:p w:rsidR="00FB1C43" w:rsidRPr="00753C46" w:rsidRDefault="00FB1C43" w:rsidP="00F82D63">
      <w:pPr>
        <w:pStyle w:val="Akapitzlist"/>
        <w:spacing w:after="0" w:line="324" w:lineRule="auto"/>
        <w:ind w:left="357"/>
        <w:contextualSpacing w:val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4678"/>
      </w:tblGrid>
      <w:tr w:rsidR="004C2C31" w:rsidRPr="00753C46" w:rsidTr="00FB1C43">
        <w:trPr>
          <w:trHeight w:val="770"/>
        </w:trPr>
        <w:tc>
          <w:tcPr>
            <w:tcW w:w="993" w:type="dxa"/>
            <w:vAlign w:val="center"/>
          </w:tcPr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Numer zjazdu</w:t>
            </w:r>
          </w:p>
        </w:tc>
        <w:tc>
          <w:tcPr>
            <w:tcW w:w="1701" w:type="dxa"/>
            <w:vAlign w:val="center"/>
          </w:tcPr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Termin zjazdu</w:t>
            </w:r>
          </w:p>
        </w:tc>
        <w:tc>
          <w:tcPr>
            <w:tcW w:w="1984" w:type="dxa"/>
            <w:vAlign w:val="center"/>
          </w:tcPr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678" w:type="dxa"/>
            <w:vAlign w:val="center"/>
          </w:tcPr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Data i przedmiot sprawdzianu</w:t>
            </w:r>
          </w:p>
        </w:tc>
      </w:tr>
      <w:tr w:rsidR="004C2C31" w:rsidRPr="00753C46" w:rsidTr="00FB1C43">
        <w:tc>
          <w:tcPr>
            <w:tcW w:w="993" w:type="dxa"/>
            <w:shd w:val="clear" w:color="auto" w:fill="E2EFD9" w:themeFill="accent6" w:themeFillTint="33"/>
            <w:vAlign w:val="center"/>
          </w:tcPr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2</w:t>
            </w:r>
            <w:r w:rsidR="00753C46" w:rsidRPr="00BF5F2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B24E82" w:rsidRPr="00BF5F2E" w:rsidRDefault="00753C46" w:rsidP="00F82D63">
            <w:pPr>
              <w:spacing w:before="60" w:after="60" w:line="32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F5F2E">
              <w:rPr>
                <w:b/>
                <w:bCs/>
                <w:sz w:val="24"/>
                <w:szCs w:val="24"/>
              </w:rPr>
              <w:t>7.04.2025 r. – 11.04.2025 r.</w:t>
            </w:r>
          </w:p>
          <w:p w:rsidR="004C2C31" w:rsidRPr="00BF5F2E" w:rsidRDefault="004C2C31" w:rsidP="00F82D63">
            <w:pPr>
              <w:spacing w:before="60" w:after="60" w:line="32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4C2C31" w:rsidRPr="00BF5F2E" w:rsidRDefault="00753C46" w:rsidP="00F82D63">
            <w:pPr>
              <w:spacing w:before="60" w:after="60" w:line="32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F5F2E">
              <w:rPr>
                <w:b/>
                <w:bCs/>
                <w:sz w:val="24"/>
                <w:szCs w:val="24"/>
              </w:rPr>
              <w:t>14.04.2025 r. – 9.05.2025 r.</w:t>
            </w:r>
            <w:r w:rsidRPr="00BF5F2E">
              <w:rPr>
                <w:rFonts w:cstheme="minorHAnsi"/>
                <w:sz w:val="24"/>
                <w:szCs w:val="24"/>
              </w:rPr>
              <w:t xml:space="preserve"> </w:t>
            </w:r>
            <w:r w:rsidR="004C2C31" w:rsidRPr="00BF5F2E">
              <w:rPr>
                <w:rFonts w:cstheme="minorHAnsi"/>
                <w:sz w:val="24"/>
                <w:szCs w:val="24"/>
              </w:rPr>
              <w:t>(</w:t>
            </w:r>
            <w:r w:rsidRPr="00BF5F2E">
              <w:rPr>
                <w:rFonts w:cstheme="minorHAnsi"/>
                <w:sz w:val="24"/>
                <w:szCs w:val="24"/>
              </w:rPr>
              <w:t>4 </w:t>
            </w:r>
            <w:r w:rsidR="004C2C31" w:rsidRPr="00BF5F2E">
              <w:rPr>
                <w:rFonts w:cstheme="minorHAnsi"/>
                <w:sz w:val="24"/>
                <w:szCs w:val="24"/>
              </w:rPr>
              <w:t>tygodnie)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:rsidR="00AD1FD8" w:rsidRPr="00BF5F2E" w:rsidRDefault="00753C46" w:rsidP="00F82D63">
            <w:pPr>
              <w:spacing w:before="60" w:after="60" w:line="324" w:lineRule="auto"/>
              <w:jc w:val="both"/>
              <w:rPr>
                <w:rFonts w:cstheme="minorHAnsi"/>
                <w:sz w:val="24"/>
                <w:szCs w:val="24"/>
              </w:rPr>
            </w:pPr>
            <w:r w:rsidRPr="00BF5F2E">
              <w:rPr>
                <w:rFonts w:cstheme="minorHAnsi"/>
                <w:b/>
                <w:bCs/>
                <w:sz w:val="24"/>
                <w:szCs w:val="24"/>
              </w:rPr>
              <w:t xml:space="preserve">12.05.2025r.; </w:t>
            </w:r>
            <w:r w:rsidR="00FB1C43" w:rsidRPr="00BF5F2E">
              <w:rPr>
                <w:rFonts w:cstheme="minorHAnsi"/>
                <w:sz w:val="24"/>
                <w:szCs w:val="24"/>
              </w:rPr>
              <w:t>przygotowanie, na podstawie spreparowanych akt, projektu wyroku wraz z uzasadnieniem w sprawie z powództwa pracownika kwestionującego rozwiązanie stosunku pracy</w:t>
            </w:r>
            <w:r w:rsidR="00B73DEE" w:rsidRPr="00BF5F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C2C31" w:rsidRPr="00753C46" w:rsidTr="00FB1C43">
        <w:trPr>
          <w:trHeight w:val="1474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:rsidR="004C2C31" w:rsidRPr="00BF5F2E" w:rsidRDefault="00B73DEE" w:rsidP="00F82D63">
            <w:pPr>
              <w:spacing w:before="60" w:after="60" w:line="32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F2E">
              <w:rPr>
                <w:rFonts w:cstheme="minorHAnsi"/>
                <w:b/>
                <w:sz w:val="24"/>
                <w:szCs w:val="24"/>
              </w:rPr>
              <w:t>2</w:t>
            </w:r>
            <w:r w:rsidR="00753C46" w:rsidRPr="00BF5F2E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C2C31" w:rsidRPr="00BF5F2E" w:rsidRDefault="00753C46" w:rsidP="00F82D63">
            <w:pPr>
              <w:spacing w:before="60" w:after="60" w:line="32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F5F2E">
              <w:rPr>
                <w:b/>
                <w:bCs/>
                <w:sz w:val="24"/>
                <w:szCs w:val="24"/>
              </w:rPr>
              <w:t>12.05.2025 r. – 16.05.2025 r.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4C2C31" w:rsidRPr="00BF5F2E" w:rsidRDefault="00753C46" w:rsidP="00F82D63">
            <w:pPr>
              <w:spacing w:before="60" w:after="60" w:line="32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F5F2E">
              <w:rPr>
                <w:b/>
                <w:bCs/>
                <w:sz w:val="24"/>
                <w:szCs w:val="24"/>
              </w:rPr>
              <w:t>19.05.2025 r. – 6.06.2025 r.</w:t>
            </w:r>
            <w:r w:rsidR="00AD1FD8" w:rsidRPr="00BF5F2E">
              <w:rPr>
                <w:rFonts w:cstheme="minorHAnsi"/>
                <w:sz w:val="24"/>
                <w:szCs w:val="24"/>
              </w:rPr>
              <w:t xml:space="preserve"> </w:t>
            </w:r>
            <w:r w:rsidR="004C2C31" w:rsidRPr="00BF5F2E">
              <w:rPr>
                <w:rFonts w:cstheme="minorHAnsi"/>
                <w:sz w:val="24"/>
                <w:szCs w:val="24"/>
              </w:rPr>
              <w:t>(</w:t>
            </w:r>
            <w:r w:rsidR="00AD1FD8" w:rsidRPr="00BF5F2E">
              <w:rPr>
                <w:rFonts w:cstheme="minorHAnsi"/>
                <w:sz w:val="24"/>
                <w:szCs w:val="24"/>
              </w:rPr>
              <w:t>3</w:t>
            </w:r>
            <w:r w:rsidRPr="00BF5F2E">
              <w:rPr>
                <w:rFonts w:cstheme="minorHAnsi"/>
                <w:sz w:val="24"/>
                <w:szCs w:val="24"/>
              </w:rPr>
              <w:t> </w:t>
            </w:r>
            <w:r w:rsidR="004C2C31" w:rsidRPr="00BF5F2E">
              <w:rPr>
                <w:rFonts w:cstheme="minorHAnsi"/>
                <w:sz w:val="24"/>
                <w:szCs w:val="24"/>
              </w:rPr>
              <w:t>tygodnie)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AD1FD8" w:rsidRPr="00BF5F2E" w:rsidRDefault="00753C46" w:rsidP="00F82D63">
            <w:pPr>
              <w:spacing w:before="60" w:after="60" w:line="324" w:lineRule="auto"/>
              <w:jc w:val="both"/>
              <w:rPr>
                <w:rFonts w:cstheme="minorHAnsi"/>
                <w:sz w:val="24"/>
                <w:szCs w:val="24"/>
              </w:rPr>
            </w:pPr>
            <w:r w:rsidRPr="00BF5F2E">
              <w:rPr>
                <w:rFonts w:cstheme="minorHAnsi"/>
                <w:b/>
                <w:bCs/>
                <w:sz w:val="24"/>
                <w:szCs w:val="24"/>
              </w:rPr>
              <w:t>9.06.2025 r.;</w:t>
            </w:r>
            <w:r w:rsidRPr="00BF5F2E">
              <w:rPr>
                <w:rFonts w:cstheme="minorHAnsi"/>
                <w:sz w:val="24"/>
                <w:szCs w:val="24"/>
              </w:rPr>
              <w:t xml:space="preserve"> </w:t>
            </w:r>
            <w:r w:rsidR="00FB1C43" w:rsidRPr="00BF5F2E">
              <w:rPr>
                <w:rFonts w:cstheme="minorHAnsi"/>
                <w:sz w:val="24"/>
                <w:szCs w:val="24"/>
              </w:rPr>
              <w:t>opracowanie, na podstawie spreparowanych akt, wyroku z uzasadnieniem w sprawie o świadczenie z ubezpieczenia chorobowego lub wypadkowego</w:t>
            </w:r>
          </w:p>
        </w:tc>
      </w:tr>
    </w:tbl>
    <w:p w:rsidR="004C2C31" w:rsidRPr="00753C46" w:rsidRDefault="004C2C31" w:rsidP="00F82D63">
      <w:pPr>
        <w:spacing w:after="0" w:line="324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4C2C31" w:rsidRPr="00747E78" w:rsidRDefault="004C2C31" w:rsidP="00F82D63">
      <w:pPr>
        <w:pStyle w:val="Akapitzlist"/>
        <w:numPr>
          <w:ilvl w:val="0"/>
          <w:numId w:val="1"/>
        </w:numPr>
        <w:spacing w:after="0" w:line="324" w:lineRule="auto"/>
        <w:contextualSpacing w:val="0"/>
        <w:jc w:val="both"/>
        <w:rPr>
          <w:rFonts w:eastAsia="Times New Roman" w:cstheme="minorHAnsi"/>
          <w:b/>
          <w:sz w:val="26"/>
          <w:szCs w:val="26"/>
        </w:rPr>
      </w:pPr>
      <w:r w:rsidRPr="00747E78">
        <w:rPr>
          <w:rFonts w:eastAsia="Times New Roman" w:cstheme="minorHAnsi"/>
          <w:b/>
          <w:sz w:val="26"/>
          <w:szCs w:val="26"/>
        </w:rPr>
        <w:t>Zalecenia dotyczące przebiegu poszczególnych praktyk</w:t>
      </w:r>
    </w:p>
    <w:p w:rsidR="004C2C31" w:rsidRPr="00753C46" w:rsidRDefault="004C2C31" w:rsidP="00F82D63">
      <w:pPr>
        <w:spacing w:after="0" w:line="324" w:lineRule="auto"/>
        <w:jc w:val="both"/>
        <w:rPr>
          <w:rFonts w:cstheme="minorHAnsi"/>
          <w:sz w:val="24"/>
          <w:szCs w:val="24"/>
        </w:rPr>
      </w:pPr>
    </w:p>
    <w:p w:rsidR="004C2C31" w:rsidRPr="00747E78" w:rsidRDefault="004C2C31" w:rsidP="00097DBC">
      <w:pPr>
        <w:pStyle w:val="Akapitzlist"/>
        <w:numPr>
          <w:ilvl w:val="1"/>
          <w:numId w:val="1"/>
        </w:numPr>
        <w:spacing w:after="120" w:line="324" w:lineRule="auto"/>
        <w:ind w:left="0" w:firstLine="0"/>
        <w:contextualSpacing w:val="0"/>
        <w:jc w:val="center"/>
        <w:rPr>
          <w:rFonts w:cstheme="minorHAnsi"/>
          <w:b/>
          <w:sz w:val="26"/>
          <w:szCs w:val="26"/>
        </w:rPr>
      </w:pPr>
      <w:r w:rsidRPr="00747E78">
        <w:rPr>
          <w:rFonts w:cstheme="minorHAnsi"/>
          <w:b/>
          <w:sz w:val="26"/>
          <w:szCs w:val="26"/>
        </w:rPr>
        <w:t xml:space="preserve">ZALECENIA W SPRAWIE PRAKTYK PO </w:t>
      </w:r>
      <w:r w:rsidR="00B24E82" w:rsidRPr="00747E78">
        <w:rPr>
          <w:rFonts w:cstheme="minorHAnsi"/>
          <w:b/>
          <w:sz w:val="26"/>
          <w:szCs w:val="26"/>
        </w:rPr>
        <w:t>2</w:t>
      </w:r>
      <w:r w:rsidR="00753C46" w:rsidRPr="00747E78">
        <w:rPr>
          <w:rFonts w:cstheme="minorHAnsi"/>
          <w:b/>
          <w:sz w:val="26"/>
          <w:szCs w:val="26"/>
        </w:rPr>
        <w:t>6</w:t>
      </w:r>
      <w:r w:rsidRPr="00747E78">
        <w:rPr>
          <w:rFonts w:cstheme="minorHAnsi"/>
          <w:b/>
          <w:sz w:val="26"/>
          <w:szCs w:val="26"/>
        </w:rPr>
        <w:t xml:space="preserve"> ZJEŹDZIE</w:t>
      </w:r>
    </w:p>
    <w:p w:rsidR="004C2C31" w:rsidRPr="00753C46" w:rsidRDefault="004C2C31" w:rsidP="00097DBC">
      <w:pPr>
        <w:spacing w:after="120" w:line="324" w:lineRule="auto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b/>
          <w:sz w:val="24"/>
          <w:szCs w:val="24"/>
        </w:rPr>
        <w:t xml:space="preserve">Przedmiot zjazdu: </w:t>
      </w:r>
      <w:r w:rsidR="00B24E82" w:rsidRPr="00753C46">
        <w:rPr>
          <w:rFonts w:cstheme="minorHAnsi"/>
          <w:sz w:val="24"/>
          <w:szCs w:val="24"/>
        </w:rPr>
        <w:t>prawo pracy</w:t>
      </w:r>
    </w:p>
    <w:p w:rsidR="004C2C31" w:rsidRPr="00753C46" w:rsidRDefault="004C2C31" w:rsidP="00097DBC">
      <w:pPr>
        <w:spacing w:after="120" w:line="324" w:lineRule="auto"/>
        <w:ind w:firstLine="709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W zakresie </w:t>
      </w:r>
      <w:r w:rsidRPr="00753C46">
        <w:rPr>
          <w:rFonts w:cstheme="minorHAnsi"/>
          <w:b/>
          <w:sz w:val="24"/>
          <w:szCs w:val="24"/>
        </w:rPr>
        <w:t>prawa materialnego</w:t>
      </w:r>
      <w:r w:rsidRPr="00753C46">
        <w:rPr>
          <w:rFonts w:cstheme="minorHAnsi"/>
          <w:sz w:val="24"/>
          <w:szCs w:val="24"/>
        </w:rPr>
        <w:t xml:space="preserve"> należy poświęcić szczególną uwagę zagadnieniem prawa cywilnego, które obejmują: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źródła prawa pracy, w tym tzw. autonomiczne źródła prawa pracy (art. 9 k.p.);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stosunek pracy a stosunki prawne wynikające z umów cywilnoprawnych (umowa o dzieło, umowa zlecenia, umowa o świadczenie usług, kontrakt menedżerski), ustalenie istnienia stosunku pracy (art. 22 k.p.);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przejście zakładu pracy lub jego części na innego pracodawcę, odpowiedzialność dotychczasowego i nowego pracodawcy wobec pracownika za zobowiązania wynikające ze</w:t>
      </w:r>
      <w:r w:rsidR="00C84B82">
        <w:rPr>
          <w:rFonts w:eastAsia="Andale Sans UI" w:cstheme="minorHAnsi"/>
          <w:kern w:val="3"/>
          <w:sz w:val="24"/>
          <w:szCs w:val="24"/>
        </w:rPr>
        <w:t> </w:t>
      </w:r>
      <w:r w:rsidRPr="00753C46">
        <w:rPr>
          <w:rFonts w:eastAsia="Andale Sans UI" w:cstheme="minorHAnsi"/>
          <w:kern w:val="3"/>
          <w:sz w:val="24"/>
          <w:szCs w:val="24"/>
        </w:rPr>
        <w:t>stosunku pracy;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roszczenia przysługujące pracownikowi w przypadku niezgodnego z prawem rozwiązania umowy o pracę bez wypowiedzenia oraz za wypowiedzeniem, roszczenia przysługujące pracownikom zatrudnionym na podstawie mianowania, powołania i wyboru;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szczególne zasady rozwiązywania z pracownikami stosunków pracy z przyczyn niedotyczących pracowników (tzw. zwolnienia grupowe);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lastRenderedPageBreak/>
        <w:t>wynagrodzenie za pracę – składniki wynagrodzenia, ochrona wynagrodzenia za pracę, ochrona roszczeń pracowniczych w razie niewypłacalności pracodawcy; inne niż wynagrodzenie za pracę roszczenia pieniężne ze stosunku pracy, w tym odprawy i diety;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roszczenia przysługujące pracownikowi w przypadku naruszenia zakazu dyskryminacji oraz związane z mobbingiem;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systemy i rozkłady czasu pracy, czas pracy kierowców; wynagrodzenie za pracę w godzinach nadliczbowych, w porze nocnej, w niedziele i święta, za czas dyżuru pracowniczego (w tym medycznego);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urlopy pracownicze, w szczególności urlop wypoczynkowy; odpowiedzialność porządkowa i</w:t>
      </w:r>
      <w:r w:rsidR="00C84B82">
        <w:rPr>
          <w:rFonts w:eastAsia="Andale Sans UI" w:cstheme="minorHAnsi"/>
          <w:kern w:val="3"/>
          <w:sz w:val="24"/>
          <w:szCs w:val="24"/>
        </w:rPr>
        <w:t> </w:t>
      </w:r>
      <w:r w:rsidRPr="00753C46">
        <w:rPr>
          <w:rFonts w:eastAsia="Andale Sans UI" w:cstheme="minorHAnsi"/>
          <w:kern w:val="3"/>
          <w:sz w:val="24"/>
          <w:szCs w:val="24"/>
        </w:rPr>
        <w:t>materialna pracowników;</w:t>
      </w:r>
    </w:p>
    <w:p w:rsidR="007B37F3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 xml:space="preserve">roszczenia pracodawcy i pracownika wynikające z zakazu konkurencji po ustaniu stosunku pracy; </w:t>
      </w:r>
    </w:p>
    <w:p w:rsidR="00B24E82" w:rsidRDefault="00B24E82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świadectwo pracy, sprostowanie świadectwa pracy;</w:t>
      </w:r>
    </w:p>
    <w:p w:rsidR="004D005A" w:rsidRPr="004D005A" w:rsidRDefault="004D005A" w:rsidP="00097DBC">
      <w:pPr>
        <w:pStyle w:val="Akapitzlist"/>
        <w:numPr>
          <w:ilvl w:val="0"/>
          <w:numId w:val="25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4D005A">
        <w:rPr>
          <w:rFonts w:eastAsia="Andale Sans UI" w:cstheme="minorHAnsi"/>
          <w:kern w:val="3"/>
          <w:sz w:val="24"/>
          <w:szCs w:val="24"/>
        </w:rPr>
        <w:t>pracownicza odpowiedzialność porządkowa i materialna;</w:t>
      </w:r>
    </w:p>
    <w:p w:rsidR="00B24E82" w:rsidRPr="00753C46" w:rsidRDefault="00B24E82" w:rsidP="00097DBC">
      <w:pPr>
        <w:pStyle w:val="Akapitzlist"/>
        <w:numPr>
          <w:ilvl w:val="0"/>
          <w:numId w:val="25"/>
        </w:numPr>
        <w:spacing w:after="120" w:line="324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związki zawodowe – uprawnienia zakładowej organizacji związkowej, ochrona stosunku pracy działaczy związkowych.</w:t>
      </w:r>
    </w:p>
    <w:p w:rsidR="004C2C31" w:rsidRPr="00753C46" w:rsidRDefault="004C2C31" w:rsidP="00097DBC">
      <w:pPr>
        <w:spacing w:after="120" w:line="324" w:lineRule="auto"/>
        <w:ind w:firstLine="709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W zakresie </w:t>
      </w:r>
      <w:r w:rsidRPr="00753C46">
        <w:rPr>
          <w:rFonts w:cstheme="minorHAnsi"/>
          <w:b/>
          <w:sz w:val="24"/>
          <w:szCs w:val="24"/>
        </w:rPr>
        <w:t>prawa procesowego</w:t>
      </w:r>
      <w:r w:rsidRPr="00753C46">
        <w:rPr>
          <w:rFonts w:cstheme="minorHAnsi"/>
          <w:sz w:val="24"/>
          <w:szCs w:val="24"/>
        </w:rPr>
        <w:t xml:space="preserve"> należy poświęcić uwagę przede wszystkim kwestiom obejmującym: 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zdolność sądowa pracodawcy,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możliwość zgłoszenia przez pracownika działającego bez adwokata lub radcy prawnego powództwa, pism procesowych oraz środków odwoławczych ustnie do protokołu;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wyłączenie stosowania przepisów ograniczających dopuszczalność dowodu ze świadków i z przesłuchania stron;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szeroki zakres czynności, które sąd może podjąć z urzędu (ustanowienie kuratora w trybie art. 69 k.p.c., dopozwanie, możliwość uwzględnienia z urzędu roszczenia alternatywnego, niezgłoszonego przez pracownika); 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specyfika rygoru natychmiastowej wykonalności,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postępowanie dowodowe w sprawach z zakresu prawa pracy, z uwzględnieniem kwestii analizy i oceny specyficznych dla spraw z tego zakresu środków dowodowych (np. akta osobowe pracownika, ewidencja czasu pracy), </w:t>
      </w:r>
    </w:p>
    <w:p w:rsidR="005A10DB" w:rsidRPr="00753C46" w:rsidRDefault="005A10DB" w:rsidP="00097DBC">
      <w:pPr>
        <w:pStyle w:val="Akapitzlist"/>
        <w:widowControl w:val="0"/>
        <w:numPr>
          <w:ilvl w:val="0"/>
          <w:numId w:val="28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sposób redagowania postanowień dowodowych, w tym zwłaszcza postanowienia o</w:t>
      </w:r>
      <w:r w:rsidR="00C84B82">
        <w:rPr>
          <w:rFonts w:cstheme="minorHAnsi"/>
          <w:sz w:val="24"/>
          <w:szCs w:val="24"/>
        </w:rPr>
        <w:t> </w:t>
      </w:r>
      <w:r w:rsidRPr="00753C46">
        <w:rPr>
          <w:rFonts w:cstheme="minorHAnsi"/>
          <w:sz w:val="24"/>
          <w:szCs w:val="24"/>
        </w:rPr>
        <w:t>dopuszczeniu dowodu z opinii biegłego z zakresu rachunkowości celem wyliczenia należnego pracownikowi wynagrodzenia (np. za pracę w godzinach nadliczbowych).</w:t>
      </w:r>
    </w:p>
    <w:p w:rsidR="005A10DB" w:rsidRPr="00753C46" w:rsidRDefault="00FB1C43" w:rsidP="00097DBC">
      <w:pPr>
        <w:pStyle w:val="Akapitzlist"/>
        <w:widowControl w:val="0"/>
        <w:numPr>
          <w:ilvl w:val="0"/>
          <w:numId w:val="28"/>
        </w:numPr>
        <w:spacing w:after="12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A10DB" w:rsidRPr="00753C46">
        <w:rPr>
          <w:rFonts w:cstheme="minorHAnsi"/>
          <w:sz w:val="24"/>
          <w:szCs w:val="24"/>
        </w:rPr>
        <w:t>posób formułowania sentencji wyroków, w tym rozstrzygnięcie o kosztach postępowania.</w:t>
      </w:r>
    </w:p>
    <w:p w:rsidR="00097DBC" w:rsidRDefault="00097DBC" w:rsidP="00097DBC">
      <w:pPr>
        <w:spacing w:after="120" w:line="324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:rsidR="004C2C31" w:rsidRPr="00753C46" w:rsidRDefault="004C2C31" w:rsidP="00097DBC">
      <w:pPr>
        <w:spacing w:after="120" w:line="324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753C46">
        <w:rPr>
          <w:rFonts w:cstheme="minorHAnsi"/>
          <w:b/>
          <w:sz w:val="24"/>
          <w:szCs w:val="24"/>
          <w:u w:val="single"/>
        </w:rPr>
        <w:lastRenderedPageBreak/>
        <w:t>Czynności, które powinny zostać zlecone aplikantowi w trakcie praktyki (czynności obowiązkowe):</w:t>
      </w:r>
    </w:p>
    <w:p w:rsidR="005A10DB" w:rsidRPr="00753C46" w:rsidRDefault="00971FE7" w:rsidP="00097DBC">
      <w:pPr>
        <w:pStyle w:val="Akapitzlist"/>
        <w:numPr>
          <w:ilvl w:val="0"/>
          <w:numId w:val="29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sporządzenie co najmniej jednego projektu</w:t>
      </w:r>
      <w:r w:rsidRPr="00753C46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 xml:space="preserve">orzeczenia wraz z uzasadnieniem </w:t>
      </w:r>
      <w:r w:rsidR="001255CF" w:rsidRPr="00753C46">
        <w:rPr>
          <w:rFonts w:cstheme="minorHAnsi"/>
          <w:sz w:val="24"/>
          <w:szCs w:val="24"/>
        </w:rPr>
        <w:t xml:space="preserve">(oraz zarządzeniami) </w:t>
      </w:r>
      <w:r w:rsidR="005A10DB" w:rsidRPr="00753C46">
        <w:rPr>
          <w:rFonts w:cstheme="minorHAnsi"/>
          <w:sz w:val="24"/>
          <w:szCs w:val="24"/>
        </w:rPr>
        <w:t>w</w:t>
      </w:r>
      <w:r w:rsidR="008E539F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>sprawie o ustalenie istnienia stosunku</w:t>
      </w:r>
      <w:r w:rsidR="001255CF" w:rsidRPr="00753C46">
        <w:rPr>
          <w:rFonts w:cstheme="minorHAnsi"/>
          <w:sz w:val="24"/>
          <w:szCs w:val="24"/>
        </w:rPr>
        <w:t xml:space="preserve"> pracy;</w:t>
      </w:r>
    </w:p>
    <w:p w:rsidR="005A10DB" w:rsidRPr="00753C46" w:rsidRDefault="008E539F" w:rsidP="00097DBC">
      <w:pPr>
        <w:pStyle w:val="Akapitzlist"/>
        <w:numPr>
          <w:ilvl w:val="0"/>
          <w:numId w:val="29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sporządzenie co najmniej </w:t>
      </w:r>
      <w:r w:rsidR="00C84B82">
        <w:rPr>
          <w:rFonts w:cstheme="minorHAnsi"/>
          <w:sz w:val="24"/>
          <w:szCs w:val="24"/>
        </w:rPr>
        <w:t>dwóch</w:t>
      </w:r>
      <w:r>
        <w:rPr>
          <w:rFonts w:cstheme="minorHAnsi"/>
          <w:sz w:val="24"/>
          <w:szCs w:val="24"/>
        </w:rPr>
        <w:t xml:space="preserve"> projektów</w:t>
      </w:r>
      <w:r w:rsidR="005A10DB" w:rsidRPr="00753C46">
        <w:rPr>
          <w:rFonts w:cstheme="minorHAnsi"/>
          <w:sz w:val="24"/>
          <w:szCs w:val="24"/>
        </w:rPr>
        <w:t xml:space="preserve"> orzeczeń wraz z uzasadnieniami </w:t>
      </w:r>
      <w:r w:rsidR="001255CF" w:rsidRPr="00753C46">
        <w:rPr>
          <w:rFonts w:cstheme="minorHAnsi"/>
          <w:sz w:val="24"/>
          <w:szCs w:val="24"/>
        </w:rPr>
        <w:t xml:space="preserve">(oraz zarządzeniami) </w:t>
      </w:r>
      <w:r w:rsidR="005A10DB" w:rsidRPr="00753C46">
        <w:rPr>
          <w:rFonts w:cstheme="minorHAnsi"/>
          <w:sz w:val="24"/>
          <w:szCs w:val="24"/>
        </w:rPr>
        <w:t xml:space="preserve">w </w:t>
      </w:r>
      <w:r w:rsidR="00FB1C43" w:rsidRPr="00753C46">
        <w:rPr>
          <w:rFonts w:cstheme="minorHAnsi"/>
          <w:sz w:val="24"/>
          <w:szCs w:val="24"/>
        </w:rPr>
        <w:t>sprawie o</w:t>
      </w:r>
      <w:r w:rsidR="005A10DB" w:rsidRPr="00753C46">
        <w:rPr>
          <w:rFonts w:cstheme="minorHAnsi"/>
          <w:sz w:val="24"/>
          <w:szCs w:val="24"/>
        </w:rPr>
        <w:t xml:space="preserve"> przywrócenie do pracy lub o odszkodowanie za niezgodne z</w:t>
      </w:r>
      <w:r>
        <w:rPr>
          <w:rFonts w:cstheme="minorHAnsi"/>
          <w:sz w:val="24"/>
          <w:szCs w:val="24"/>
        </w:rPr>
        <w:t> </w:t>
      </w:r>
      <w:r w:rsidR="005A10DB" w:rsidRPr="00753C46">
        <w:rPr>
          <w:rFonts w:cstheme="minorHAnsi"/>
          <w:sz w:val="24"/>
          <w:szCs w:val="24"/>
        </w:rPr>
        <w:t xml:space="preserve">prawem rozwiązanie umowy o pracę bez </w:t>
      </w:r>
      <w:r w:rsidR="001255CF" w:rsidRPr="00753C46">
        <w:rPr>
          <w:rFonts w:cstheme="minorHAnsi"/>
          <w:sz w:val="24"/>
          <w:szCs w:val="24"/>
        </w:rPr>
        <w:t>wypowiedzenia/za wypowiedzeniem;</w:t>
      </w:r>
    </w:p>
    <w:p w:rsidR="005A10DB" w:rsidRPr="00753C46" w:rsidRDefault="00971FE7" w:rsidP="00097DBC">
      <w:pPr>
        <w:pStyle w:val="Akapitzlist"/>
        <w:numPr>
          <w:ilvl w:val="0"/>
          <w:numId w:val="29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sporządzenie co najmniej jednego projektu</w:t>
      </w:r>
      <w:r w:rsidRPr="00753C46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 xml:space="preserve">orzeczenia wraz z uzasadnieniem </w:t>
      </w:r>
      <w:r w:rsidR="001255CF" w:rsidRPr="00753C46">
        <w:rPr>
          <w:rFonts w:cstheme="minorHAnsi"/>
          <w:sz w:val="24"/>
          <w:szCs w:val="24"/>
        </w:rPr>
        <w:t xml:space="preserve">(oraz zarządzeniami) </w:t>
      </w:r>
      <w:r w:rsidR="005A10DB" w:rsidRPr="00753C46">
        <w:rPr>
          <w:rFonts w:cstheme="minorHAnsi"/>
          <w:sz w:val="24"/>
          <w:szCs w:val="24"/>
        </w:rPr>
        <w:t>w</w:t>
      </w:r>
      <w:r w:rsidR="008E539F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>sprawie o sprostowanie świadectwa pracy lub związanych z</w:t>
      </w:r>
      <w:r w:rsidR="008E539F">
        <w:rPr>
          <w:rFonts w:cstheme="minorHAnsi"/>
          <w:sz w:val="24"/>
          <w:szCs w:val="24"/>
        </w:rPr>
        <w:t> </w:t>
      </w:r>
      <w:r w:rsidR="005A10DB" w:rsidRPr="00753C46">
        <w:rPr>
          <w:rFonts w:cstheme="minorHAnsi"/>
          <w:sz w:val="24"/>
          <w:szCs w:val="24"/>
        </w:rPr>
        <w:t>odpowiedzialnością pracowników za szkodę wyrządzoną pracodawcy/za mienie powierzone lub o</w:t>
      </w:r>
      <w:r w:rsidR="008E539F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>uchylenie kary porządkowej</w:t>
      </w:r>
      <w:r w:rsidR="001255CF" w:rsidRPr="00753C46">
        <w:rPr>
          <w:rFonts w:cstheme="minorHAnsi"/>
          <w:sz w:val="24"/>
          <w:szCs w:val="24"/>
        </w:rPr>
        <w:t>;</w:t>
      </w:r>
    </w:p>
    <w:p w:rsidR="005A10DB" w:rsidRPr="00753C46" w:rsidRDefault="00971FE7" w:rsidP="00097DBC">
      <w:pPr>
        <w:pStyle w:val="Akapitzlist"/>
        <w:numPr>
          <w:ilvl w:val="0"/>
          <w:numId w:val="29"/>
        </w:numPr>
        <w:spacing w:after="12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sporządzenie co najmniej jednego projektu</w:t>
      </w:r>
      <w:r w:rsidRPr="00753C46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>postanowienia o dopuszczeniu dowodu z opinii biegłego z</w:t>
      </w:r>
      <w:r w:rsidR="008E539F">
        <w:rPr>
          <w:rFonts w:cstheme="minorHAnsi"/>
          <w:sz w:val="24"/>
          <w:szCs w:val="24"/>
        </w:rPr>
        <w:t xml:space="preserve"> </w:t>
      </w:r>
      <w:r w:rsidR="005A10DB" w:rsidRPr="00753C46">
        <w:rPr>
          <w:rFonts w:cstheme="minorHAnsi"/>
          <w:sz w:val="24"/>
          <w:szCs w:val="24"/>
        </w:rPr>
        <w:t>zakresu rachunkowości</w:t>
      </w:r>
      <w:r w:rsidR="008E539F">
        <w:rPr>
          <w:rFonts w:cstheme="minorHAnsi"/>
          <w:sz w:val="24"/>
          <w:szCs w:val="24"/>
        </w:rPr>
        <w:t xml:space="preserve"> w s</w:t>
      </w:r>
      <w:r w:rsidR="005A10DB" w:rsidRPr="00753C46">
        <w:rPr>
          <w:rFonts w:cstheme="minorHAnsi"/>
          <w:sz w:val="24"/>
          <w:szCs w:val="24"/>
        </w:rPr>
        <w:t>prawie o wynagrodzenie za pracę w godzinach nadliczbowych oraz odezwy do biegłego.</w:t>
      </w:r>
    </w:p>
    <w:p w:rsidR="004C2C31" w:rsidRPr="00753C46" w:rsidRDefault="004C2C31" w:rsidP="00097DBC">
      <w:pPr>
        <w:pStyle w:val="Teksttreci60"/>
        <w:shd w:val="clear" w:color="auto" w:fill="auto"/>
        <w:spacing w:after="120" w:line="324" w:lineRule="auto"/>
        <w:ind w:left="80"/>
        <w:jc w:val="both"/>
        <w:rPr>
          <w:rFonts w:asciiTheme="minorHAnsi" w:hAnsiTheme="minorHAnsi" w:cstheme="minorHAnsi"/>
          <w:sz w:val="24"/>
          <w:szCs w:val="24"/>
        </w:rPr>
      </w:pPr>
    </w:p>
    <w:p w:rsidR="004C2C31" w:rsidRPr="00747E78" w:rsidRDefault="00DE4DD1" w:rsidP="00097DBC">
      <w:pPr>
        <w:pStyle w:val="Teksttreci60"/>
        <w:shd w:val="clear" w:color="auto" w:fill="auto"/>
        <w:tabs>
          <w:tab w:val="left" w:leader="dot" w:pos="3814"/>
        </w:tabs>
        <w:spacing w:after="120" w:line="324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7E78">
        <w:rPr>
          <w:rFonts w:asciiTheme="minorHAnsi" w:hAnsiTheme="minorHAnsi" w:cstheme="minorHAnsi"/>
          <w:b/>
          <w:sz w:val="26"/>
          <w:szCs w:val="26"/>
        </w:rPr>
        <w:t xml:space="preserve">III.2. </w:t>
      </w:r>
      <w:r w:rsidR="004C2C31" w:rsidRPr="00747E78">
        <w:rPr>
          <w:rFonts w:asciiTheme="minorHAnsi" w:hAnsiTheme="minorHAnsi" w:cstheme="minorHAnsi"/>
          <w:b/>
          <w:sz w:val="26"/>
          <w:szCs w:val="26"/>
        </w:rPr>
        <w:t xml:space="preserve">ZALECENIA W SPRAWIE PRAKTYK PO </w:t>
      </w:r>
      <w:r w:rsidR="005A10DB" w:rsidRPr="00747E78">
        <w:rPr>
          <w:rFonts w:asciiTheme="minorHAnsi" w:hAnsiTheme="minorHAnsi" w:cstheme="minorHAnsi"/>
          <w:b/>
          <w:sz w:val="26"/>
          <w:szCs w:val="26"/>
        </w:rPr>
        <w:t>2</w:t>
      </w:r>
      <w:r w:rsidR="00753C46" w:rsidRPr="00747E78">
        <w:rPr>
          <w:rFonts w:asciiTheme="minorHAnsi" w:hAnsiTheme="minorHAnsi" w:cstheme="minorHAnsi"/>
          <w:b/>
          <w:sz w:val="26"/>
          <w:szCs w:val="26"/>
        </w:rPr>
        <w:t>7</w:t>
      </w:r>
      <w:r w:rsidR="004C2C31" w:rsidRPr="00747E78">
        <w:rPr>
          <w:rFonts w:asciiTheme="minorHAnsi" w:hAnsiTheme="minorHAnsi" w:cstheme="minorHAnsi"/>
          <w:b/>
          <w:sz w:val="26"/>
          <w:szCs w:val="26"/>
        </w:rPr>
        <w:t xml:space="preserve"> ZJEŹDZIE</w:t>
      </w:r>
    </w:p>
    <w:p w:rsidR="004C2C31" w:rsidRPr="00753C46" w:rsidRDefault="004C2C31" w:rsidP="00097DBC">
      <w:pPr>
        <w:pStyle w:val="Teksttreci60"/>
        <w:shd w:val="clear" w:color="auto" w:fill="auto"/>
        <w:tabs>
          <w:tab w:val="left" w:leader="dot" w:pos="3814"/>
        </w:tabs>
        <w:spacing w:after="120" w:line="324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53C46">
        <w:rPr>
          <w:rFonts w:asciiTheme="minorHAnsi" w:hAnsiTheme="minorHAnsi" w:cstheme="minorHAnsi"/>
          <w:b/>
          <w:sz w:val="24"/>
          <w:szCs w:val="24"/>
        </w:rPr>
        <w:t xml:space="preserve">Przedmiot zjazdu: </w:t>
      </w:r>
      <w:r w:rsidR="005A10DB" w:rsidRPr="00753C46">
        <w:rPr>
          <w:rFonts w:asciiTheme="minorHAnsi" w:hAnsiTheme="minorHAnsi" w:cstheme="minorHAnsi"/>
          <w:sz w:val="24"/>
          <w:szCs w:val="24"/>
        </w:rPr>
        <w:t xml:space="preserve">prawo ubezpieczeń społecznych </w:t>
      </w:r>
    </w:p>
    <w:p w:rsidR="004C2C31" w:rsidRPr="00753C46" w:rsidRDefault="004C2C31" w:rsidP="00097DBC">
      <w:pPr>
        <w:spacing w:after="120" w:line="324" w:lineRule="auto"/>
        <w:ind w:firstLine="709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W zakresie </w:t>
      </w:r>
      <w:r w:rsidRPr="00753C46">
        <w:rPr>
          <w:rFonts w:cstheme="minorHAnsi"/>
          <w:b/>
          <w:sz w:val="24"/>
          <w:szCs w:val="24"/>
        </w:rPr>
        <w:t>prawa materialnego</w:t>
      </w:r>
      <w:r w:rsidRPr="00753C46">
        <w:rPr>
          <w:rFonts w:cstheme="minorHAnsi"/>
          <w:sz w:val="24"/>
          <w:szCs w:val="24"/>
        </w:rPr>
        <w:t xml:space="preserve"> należy szczególną uwagę poświęcić zagadnieniom, w zakres których wchodzą: </w:t>
      </w:r>
    </w:p>
    <w:p w:rsidR="005A10DB" w:rsidRPr="00753C46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zasady podlegania ubezpieczeniom społecznym (w systemie powszechnym i rolniczym);</w:t>
      </w:r>
    </w:p>
    <w:p w:rsidR="00DB0E28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 xml:space="preserve">składki na ubezpieczenia społeczne; </w:t>
      </w:r>
    </w:p>
    <w:p w:rsidR="000C3D45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 xml:space="preserve">zasady ustalania prawa do świadczeń z ubezpieczenia społecznego; </w:t>
      </w:r>
    </w:p>
    <w:p w:rsidR="005A10DB" w:rsidRPr="00753C46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zwrot świadczeń nienależnie pobranych;</w:t>
      </w:r>
    </w:p>
    <w:p w:rsidR="005A10DB" w:rsidRPr="00753C46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ubezpieczenie społeczne z tytułu choroby i macierzyństwa; zasiłek chorobowy, macierzyński, opiekuńczy i wyrównawczy;</w:t>
      </w:r>
    </w:p>
    <w:p w:rsidR="005A10DB" w:rsidRPr="00753C46" w:rsidRDefault="005A10DB" w:rsidP="00097DBC">
      <w:pPr>
        <w:pStyle w:val="Akapitzlist"/>
        <w:numPr>
          <w:ilvl w:val="0"/>
          <w:numId w:val="30"/>
        </w:numPr>
        <w:spacing w:after="0" w:line="324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:rsidR="005A10DB" w:rsidRPr="00753C46" w:rsidRDefault="005A10DB" w:rsidP="00097DBC">
      <w:pPr>
        <w:pStyle w:val="Akapitzlist"/>
        <w:numPr>
          <w:ilvl w:val="0"/>
          <w:numId w:val="30"/>
        </w:numPr>
        <w:spacing w:after="120" w:line="324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753C46">
        <w:rPr>
          <w:rFonts w:eastAsia="Andale Sans UI" w:cstheme="minorHAnsi"/>
          <w:kern w:val="3"/>
          <w:sz w:val="24"/>
          <w:szCs w:val="24"/>
        </w:rPr>
        <w:t>orzekanie o stopniu niepełnosprawności.</w:t>
      </w:r>
    </w:p>
    <w:p w:rsidR="004C2C31" w:rsidRPr="00753C46" w:rsidRDefault="004C2C31" w:rsidP="00097DBC">
      <w:pPr>
        <w:spacing w:after="120" w:line="324" w:lineRule="auto"/>
        <w:ind w:firstLine="357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 xml:space="preserve">W zakresie </w:t>
      </w:r>
      <w:r w:rsidRPr="00753C46">
        <w:rPr>
          <w:rFonts w:cstheme="minorHAnsi"/>
          <w:b/>
          <w:sz w:val="24"/>
          <w:szCs w:val="24"/>
        </w:rPr>
        <w:t>prawa procesowego</w:t>
      </w:r>
      <w:r w:rsidRPr="00753C46">
        <w:rPr>
          <w:rFonts w:cstheme="minorHAnsi"/>
          <w:sz w:val="24"/>
          <w:szCs w:val="24"/>
        </w:rPr>
        <w:t xml:space="preserve"> należy poświęcić uwagę przede wszystkim </w:t>
      </w:r>
      <w:r w:rsidR="00A831C1" w:rsidRPr="00753C46">
        <w:rPr>
          <w:rFonts w:cstheme="minorHAnsi"/>
          <w:sz w:val="24"/>
          <w:szCs w:val="24"/>
        </w:rPr>
        <w:t xml:space="preserve">następującym </w:t>
      </w:r>
      <w:r w:rsidRPr="00753C46">
        <w:rPr>
          <w:rFonts w:cstheme="minorHAnsi"/>
          <w:sz w:val="24"/>
          <w:szCs w:val="24"/>
        </w:rPr>
        <w:t>zagadnieniom</w:t>
      </w:r>
      <w:r w:rsidR="00A831C1" w:rsidRPr="00753C46">
        <w:rPr>
          <w:rFonts w:cstheme="minorHAnsi"/>
          <w:sz w:val="24"/>
          <w:szCs w:val="24"/>
        </w:rPr>
        <w:t>:</w:t>
      </w:r>
      <w:r w:rsidRPr="00753C46">
        <w:rPr>
          <w:rFonts w:cstheme="minorHAnsi"/>
          <w:sz w:val="24"/>
          <w:szCs w:val="24"/>
        </w:rPr>
        <w:t xml:space="preserve"> </w:t>
      </w:r>
    </w:p>
    <w:p w:rsidR="00A831C1" w:rsidRPr="00753C46" w:rsidRDefault="00A831C1" w:rsidP="00097DBC">
      <w:pPr>
        <w:pStyle w:val="Akapitzlist"/>
        <w:widowControl w:val="0"/>
        <w:numPr>
          <w:ilvl w:val="0"/>
          <w:numId w:val="31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właściwość rzeczowa sądów rejonowych i sądów okręgowych w sprawach z zakresu ubezpieczeń społecznych;</w:t>
      </w:r>
    </w:p>
    <w:p w:rsidR="00A831C1" w:rsidRPr="00753C46" w:rsidRDefault="00A831C1" w:rsidP="00097DBC">
      <w:pPr>
        <w:pStyle w:val="Akapitzlist"/>
        <w:widowControl w:val="0"/>
        <w:numPr>
          <w:ilvl w:val="0"/>
          <w:numId w:val="31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lastRenderedPageBreak/>
        <w:t>strony postępowania w sprawach z zakresu ubezpieczeń społecznych, pojęcie „zainteresowanego” (art. 477</w:t>
      </w:r>
      <w:r w:rsidRPr="00753C46">
        <w:rPr>
          <w:rFonts w:cstheme="minorHAnsi"/>
          <w:sz w:val="24"/>
          <w:szCs w:val="24"/>
          <w:vertAlign w:val="superscript"/>
        </w:rPr>
        <w:t>11</w:t>
      </w:r>
      <w:r w:rsidRPr="00753C46">
        <w:rPr>
          <w:rFonts w:cstheme="minorHAnsi"/>
          <w:sz w:val="24"/>
          <w:szCs w:val="24"/>
        </w:rPr>
        <w:t xml:space="preserve"> § 2 k.p.c.);</w:t>
      </w:r>
    </w:p>
    <w:p w:rsidR="00A831C1" w:rsidRPr="00753C46" w:rsidRDefault="00A831C1" w:rsidP="00097DBC">
      <w:pPr>
        <w:pStyle w:val="Akapitzlist"/>
        <w:widowControl w:val="0"/>
        <w:numPr>
          <w:ilvl w:val="0"/>
          <w:numId w:val="31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zdolność sądowa organu rentowego oraz wojewódzkiego zespołu do spraw orzekania o niepełnosprawności;</w:t>
      </w:r>
    </w:p>
    <w:p w:rsidR="00A831C1" w:rsidRPr="00753C46" w:rsidRDefault="00A831C1" w:rsidP="00097DBC">
      <w:pPr>
        <w:pStyle w:val="Akapitzlist"/>
        <w:widowControl w:val="0"/>
        <w:numPr>
          <w:ilvl w:val="0"/>
          <w:numId w:val="31"/>
        </w:numPr>
        <w:spacing w:after="0" w:line="324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753C46">
        <w:rPr>
          <w:rFonts w:cstheme="minorHAnsi"/>
          <w:color w:val="000000" w:themeColor="text1"/>
          <w:sz w:val="24"/>
          <w:szCs w:val="24"/>
        </w:rPr>
        <w:t>wymogi formalne odwołania jako pisma wszczynającego postępowanie w sprawie; możliwość zwrotu akt sprawy organowi rentowemu (art. 467 § 4 k.p.c.) oraz możliwość skierowania odwołania od decyzji organu rentowego do lekarza orzecznika ZUS do</w:t>
      </w:r>
      <w:r w:rsidR="00C84B82">
        <w:rPr>
          <w:rFonts w:cstheme="minorHAnsi"/>
          <w:color w:val="000000" w:themeColor="text1"/>
          <w:sz w:val="24"/>
          <w:szCs w:val="24"/>
        </w:rPr>
        <w:t> </w:t>
      </w:r>
      <w:r w:rsidRPr="00753C46">
        <w:rPr>
          <w:rFonts w:cstheme="minorHAnsi"/>
          <w:color w:val="000000" w:themeColor="text1"/>
          <w:sz w:val="24"/>
          <w:szCs w:val="24"/>
        </w:rPr>
        <w:t>ponownego rozpatrzenia (art. 477</w:t>
      </w:r>
      <w:r w:rsidRPr="00753C46">
        <w:rPr>
          <w:rFonts w:cstheme="minorHAnsi"/>
          <w:color w:val="000000" w:themeColor="text1"/>
          <w:sz w:val="24"/>
          <w:szCs w:val="24"/>
          <w:vertAlign w:val="superscript"/>
        </w:rPr>
        <w:t>9</w:t>
      </w:r>
      <w:r w:rsidRPr="00753C46">
        <w:rPr>
          <w:rFonts w:cstheme="minorHAnsi"/>
          <w:color w:val="000000" w:themeColor="text1"/>
          <w:sz w:val="24"/>
          <w:szCs w:val="24"/>
        </w:rPr>
        <w:t xml:space="preserve"> § 2</w:t>
      </w:r>
      <w:r w:rsidRPr="00753C46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Pr="00753C46">
        <w:rPr>
          <w:rFonts w:cstheme="minorHAnsi"/>
          <w:color w:val="000000" w:themeColor="text1"/>
          <w:sz w:val="24"/>
          <w:szCs w:val="24"/>
        </w:rPr>
        <w:t xml:space="preserve"> k.p.c.); </w:t>
      </w:r>
    </w:p>
    <w:p w:rsidR="00A831C1" w:rsidRPr="00753C46" w:rsidRDefault="00A831C1" w:rsidP="00097DBC">
      <w:pPr>
        <w:pStyle w:val="Akapitzlist"/>
        <w:widowControl w:val="0"/>
        <w:numPr>
          <w:ilvl w:val="0"/>
          <w:numId w:val="31"/>
        </w:numPr>
        <w:spacing w:after="120" w:line="324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753C46">
        <w:rPr>
          <w:rFonts w:cstheme="minorHAnsi"/>
          <w:color w:val="000000" w:themeColor="text1"/>
          <w:sz w:val="24"/>
          <w:szCs w:val="24"/>
        </w:rPr>
        <w:t>rodzaje orzeczeń, jakie może wydać sąd ubezpieczeń społecznych; niedopuszczalność ugody.</w:t>
      </w:r>
    </w:p>
    <w:p w:rsidR="004C2C31" w:rsidRPr="00753C46" w:rsidRDefault="004C2C31" w:rsidP="00097DBC">
      <w:pPr>
        <w:spacing w:after="120" w:line="324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753C46">
        <w:rPr>
          <w:rFonts w:cstheme="minorHAnsi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A831C1" w:rsidRPr="00753C46" w:rsidRDefault="008E539F" w:rsidP="00097DBC">
      <w:pPr>
        <w:pStyle w:val="Akapitzlist"/>
        <w:numPr>
          <w:ilvl w:val="0"/>
          <w:numId w:val="34"/>
        </w:numPr>
        <w:spacing w:after="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sporządzenie co najmniej jednego projektu</w:t>
      </w:r>
      <w:r w:rsidRPr="00753C46">
        <w:rPr>
          <w:rFonts w:cstheme="minorHAnsi"/>
          <w:sz w:val="24"/>
          <w:szCs w:val="24"/>
        </w:rPr>
        <w:t xml:space="preserve"> </w:t>
      </w:r>
      <w:r w:rsidR="00A831C1" w:rsidRPr="00753C46">
        <w:rPr>
          <w:rFonts w:cstheme="minorHAnsi"/>
          <w:sz w:val="24"/>
          <w:szCs w:val="24"/>
        </w:rPr>
        <w:t>orzeczenia wraz z uzasadnieniami i zarządzeniami w sprawie:</w:t>
      </w:r>
    </w:p>
    <w:p w:rsidR="00A831C1" w:rsidRPr="00753C46" w:rsidRDefault="001255CF" w:rsidP="00097DBC">
      <w:pPr>
        <w:pStyle w:val="Akapitzlist"/>
        <w:numPr>
          <w:ilvl w:val="0"/>
          <w:numId w:val="35"/>
        </w:numPr>
        <w:spacing w:after="0" w:line="324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</w:rPr>
        <w:t>o zasiłek chorobowy,</w:t>
      </w:r>
    </w:p>
    <w:p w:rsidR="001255CF" w:rsidRPr="00753C46" w:rsidRDefault="001255CF" w:rsidP="00097DBC">
      <w:pPr>
        <w:pStyle w:val="Akapitzlist"/>
        <w:numPr>
          <w:ilvl w:val="0"/>
          <w:numId w:val="35"/>
        </w:numPr>
        <w:spacing w:after="0" w:line="324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</w:rPr>
        <w:t>o zwrot wypłaconego świadczenia z ubezpieczenia społecznego,</w:t>
      </w:r>
    </w:p>
    <w:p w:rsidR="00A831C1" w:rsidRPr="00753C46" w:rsidRDefault="00A831C1" w:rsidP="00097DBC">
      <w:pPr>
        <w:pStyle w:val="Akapitzlist"/>
        <w:numPr>
          <w:ilvl w:val="0"/>
          <w:numId w:val="35"/>
        </w:numPr>
        <w:spacing w:after="0" w:line="32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53C46">
        <w:rPr>
          <w:rFonts w:cstheme="minorHAnsi"/>
          <w:sz w:val="24"/>
          <w:szCs w:val="24"/>
        </w:rPr>
        <w:t>o jednorazowe odszkodowanie z tytułu wypadku przy pracy lub choroby zawodowej;</w:t>
      </w:r>
    </w:p>
    <w:p w:rsidR="00A831C1" w:rsidRPr="00753C46" w:rsidRDefault="008E539F" w:rsidP="00097DBC">
      <w:pPr>
        <w:pStyle w:val="Akapitzlist"/>
        <w:numPr>
          <w:ilvl w:val="0"/>
          <w:numId w:val="34"/>
        </w:numPr>
        <w:spacing w:after="120" w:line="32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sporządzenie co najmniej </w:t>
      </w:r>
      <w:r>
        <w:rPr>
          <w:rFonts w:cstheme="minorHAnsi"/>
          <w:sz w:val="24"/>
          <w:szCs w:val="24"/>
        </w:rPr>
        <w:t>dwóch projektów</w:t>
      </w:r>
      <w:r w:rsidR="00A831C1" w:rsidRPr="00753C46">
        <w:rPr>
          <w:rFonts w:cstheme="minorHAnsi"/>
          <w:sz w:val="24"/>
          <w:szCs w:val="24"/>
        </w:rPr>
        <w:t xml:space="preserve"> postanowień o dopuszczeniu dowodu z opinii biegłego/biegłych lekarzy oraz zlecenia dla biegłego/biegłych.</w:t>
      </w:r>
    </w:p>
    <w:p w:rsidR="004C2C31" w:rsidRPr="00753C46" w:rsidRDefault="004C2C31" w:rsidP="00F82D63">
      <w:pPr>
        <w:pStyle w:val="Akapitzlist"/>
        <w:spacing w:after="0" w:line="324" w:lineRule="auto"/>
        <w:ind w:left="1134"/>
        <w:contextualSpacing w:val="0"/>
        <w:jc w:val="both"/>
        <w:rPr>
          <w:rFonts w:cstheme="minorHAnsi"/>
          <w:sz w:val="24"/>
          <w:szCs w:val="24"/>
        </w:rPr>
      </w:pPr>
    </w:p>
    <w:p w:rsidR="004C2C31" w:rsidRPr="00753C46" w:rsidRDefault="004C2C31" w:rsidP="00F82D63">
      <w:pPr>
        <w:spacing w:after="0" w:line="324" w:lineRule="auto"/>
        <w:ind w:left="354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53C46">
        <w:rPr>
          <w:rFonts w:eastAsia="Times New Roman" w:cstheme="minorHAnsi"/>
          <w:sz w:val="24"/>
          <w:szCs w:val="24"/>
          <w:lang w:eastAsia="pl-PL"/>
        </w:rPr>
        <w:t>Kierownik Działu Dydaktycznego OAS</w:t>
      </w:r>
    </w:p>
    <w:p w:rsidR="004C2C31" w:rsidRPr="00753C46" w:rsidRDefault="00753C46" w:rsidP="00F82D63">
      <w:pPr>
        <w:spacing w:after="0" w:line="324" w:lineRule="auto"/>
        <w:ind w:left="3538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Magdalena Nagaduś</w:t>
      </w:r>
    </w:p>
    <w:p w:rsidR="004C2C31" w:rsidRPr="00753C46" w:rsidRDefault="004C2C31" w:rsidP="00F82D63">
      <w:pPr>
        <w:spacing w:after="0" w:line="324" w:lineRule="auto"/>
        <w:ind w:left="3540"/>
        <w:jc w:val="center"/>
        <w:rPr>
          <w:rFonts w:cstheme="minorHAnsi"/>
          <w:sz w:val="24"/>
          <w:szCs w:val="24"/>
        </w:rPr>
      </w:pPr>
      <w:r w:rsidRPr="00753C46">
        <w:rPr>
          <w:rFonts w:eastAsia="Times New Roman" w:cstheme="minorHAnsi"/>
          <w:sz w:val="24"/>
          <w:szCs w:val="24"/>
          <w:lang w:eastAsia="pl-PL"/>
        </w:rPr>
        <w:t>sędzia</w:t>
      </w:r>
    </w:p>
    <w:sectPr w:rsidR="004C2C31" w:rsidRPr="00753C46" w:rsidSect="00E520B5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76" w:rsidRDefault="00E63A76">
      <w:pPr>
        <w:spacing w:after="0" w:line="240" w:lineRule="auto"/>
      </w:pPr>
      <w:r>
        <w:separator/>
      </w:r>
    </w:p>
  </w:endnote>
  <w:endnote w:type="continuationSeparator" w:id="0">
    <w:p w:rsidR="00E63A76" w:rsidRDefault="00E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958417"/>
      <w:docPartObj>
        <w:docPartGallery w:val="Page Numbers (Bottom of Page)"/>
        <w:docPartUnique/>
      </w:docPartObj>
    </w:sdtPr>
    <w:sdtEndPr/>
    <w:sdtContent>
      <w:p w:rsidR="002F532C" w:rsidRDefault="00337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7A">
          <w:rPr>
            <w:noProof/>
          </w:rPr>
          <w:t>1</w:t>
        </w:r>
        <w:r>
          <w:fldChar w:fldCharType="end"/>
        </w:r>
      </w:p>
    </w:sdtContent>
  </w:sdt>
  <w:p w:rsidR="007A3737" w:rsidRDefault="00E6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76" w:rsidRDefault="00E63A76">
      <w:pPr>
        <w:spacing w:after="0" w:line="240" w:lineRule="auto"/>
      </w:pPr>
      <w:r>
        <w:separator/>
      </w:r>
    </w:p>
  </w:footnote>
  <w:footnote w:type="continuationSeparator" w:id="0">
    <w:p w:rsidR="00E63A76" w:rsidRDefault="00E6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2B7"/>
    <w:multiLevelType w:val="hybridMultilevel"/>
    <w:tmpl w:val="92E4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C89"/>
    <w:multiLevelType w:val="hybridMultilevel"/>
    <w:tmpl w:val="CE0C4146"/>
    <w:lvl w:ilvl="0" w:tplc="AFDC2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C6E1E"/>
    <w:multiLevelType w:val="hybridMultilevel"/>
    <w:tmpl w:val="CF78CD20"/>
    <w:lvl w:ilvl="0" w:tplc="E56859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F1620"/>
    <w:multiLevelType w:val="hybridMultilevel"/>
    <w:tmpl w:val="66D210B6"/>
    <w:lvl w:ilvl="0" w:tplc="640A6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B2C55"/>
    <w:multiLevelType w:val="hybridMultilevel"/>
    <w:tmpl w:val="7046A090"/>
    <w:lvl w:ilvl="0" w:tplc="6486D980">
      <w:start w:val="1"/>
      <w:numFmt w:val="decimal"/>
      <w:lvlText w:val="%1)"/>
      <w:lvlJc w:val="left"/>
      <w:pPr>
        <w:ind w:left="502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B9525A"/>
    <w:multiLevelType w:val="hybridMultilevel"/>
    <w:tmpl w:val="9F06486E"/>
    <w:lvl w:ilvl="0" w:tplc="F4842FBA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460BA9"/>
    <w:multiLevelType w:val="hybridMultilevel"/>
    <w:tmpl w:val="08B2ECA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F3B21"/>
    <w:multiLevelType w:val="hybridMultilevel"/>
    <w:tmpl w:val="8B8E6738"/>
    <w:lvl w:ilvl="0" w:tplc="2C6EF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44974"/>
    <w:multiLevelType w:val="hybridMultilevel"/>
    <w:tmpl w:val="3F2C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1D2A"/>
    <w:multiLevelType w:val="hybridMultilevel"/>
    <w:tmpl w:val="667C1CE2"/>
    <w:lvl w:ilvl="0" w:tplc="4D9E2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0" w15:restartNumberingAfterBreak="0">
    <w:nsid w:val="549E05C4"/>
    <w:multiLevelType w:val="hybridMultilevel"/>
    <w:tmpl w:val="E536DDF4"/>
    <w:lvl w:ilvl="0" w:tplc="09C663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FC67EB"/>
    <w:multiLevelType w:val="hybridMultilevel"/>
    <w:tmpl w:val="69AC5C3C"/>
    <w:lvl w:ilvl="0" w:tplc="E30E2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3A3084"/>
    <w:multiLevelType w:val="hybridMultilevel"/>
    <w:tmpl w:val="FF26F926"/>
    <w:lvl w:ilvl="0" w:tplc="BC766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7E8A"/>
    <w:multiLevelType w:val="hybridMultilevel"/>
    <w:tmpl w:val="B406C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0B05BD5"/>
    <w:multiLevelType w:val="hybridMultilevel"/>
    <w:tmpl w:val="68667F32"/>
    <w:lvl w:ilvl="0" w:tplc="09C66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74150E70"/>
    <w:multiLevelType w:val="hybridMultilevel"/>
    <w:tmpl w:val="3B6E4618"/>
    <w:lvl w:ilvl="0" w:tplc="954606CC">
      <w:start w:val="1"/>
      <w:numFmt w:val="decimal"/>
      <w:lvlText w:val="%1)"/>
      <w:lvlJc w:val="left"/>
      <w:pPr>
        <w:ind w:left="1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2" w15:restartNumberingAfterBreak="0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A50A9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7"/>
  </w:num>
  <w:num w:numId="9">
    <w:abstractNumId w:val="2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22"/>
  </w:num>
  <w:num w:numId="16">
    <w:abstractNumId w:val="28"/>
  </w:num>
  <w:num w:numId="17">
    <w:abstractNumId w:val="30"/>
  </w:num>
  <w:num w:numId="18">
    <w:abstractNumId w:val="6"/>
  </w:num>
  <w:num w:numId="19">
    <w:abstractNumId w:val="27"/>
  </w:num>
  <w:num w:numId="20">
    <w:abstractNumId w:val="18"/>
  </w:num>
  <w:num w:numId="21">
    <w:abstractNumId w:val="7"/>
  </w:num>
  <w:num w:numId="22">
    <w:abstractNumId w:val="23"/>
  </w:num>
  <w:num w:numId="23">
    <w:abstractNumId w:val="33"/>
  </w:num>
  <w:num w:numId="24">
    <w:abstractNumId w:val="13"/>
  </w:num>
  <w:num w:numId="25">
    <w:abstractNumId w:val="11"/>
  </w:num>
  <w:num w:numId="26">
    <w:abstractNumId w:val="21"/>
  </w:num>
  <w:num w:numId="27">
    <w:abstractNumId w:val="5"/>
  </w:num>
  <w:num w:numId="28">
    <w:abstractNumId w:val="24"/>
  </w:num>
  <w:num w:numId="29">
    <w:abstractNumId w:val="1"/>
  </w:num>
  <w:num w:numId="30">
    <w:abstractNumId w:val="10"/>
  </w:num>
  <w:num w:numId="31">
    <w:abstractNumId w:val="3"/>
  </w:num>
  <w:num w:numId="32">
    <w:abstractNumId w:val="31"/>
  </w:num>
  <w:num w:numId="33">
    <w:abstractNumId w:val="4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31"/>
    <w:rsid w:val="00097DBC"/>
    <w:rsid w:val="000C3D45"/>
    <w:rsid w:val="00115F99"/>
    <w:rsid w:val="001255CF"/>
    <w:rsid w:val="001525B2"/>
    <w:rsid w:val="001647F5"/>
    <w:rsid w:val="00221F6E"/>
    <w:rsid w:val="00234879"/>
    <w:rsid w:val="002B7AD4"/>
    <w:rsid w:val="00337D6C"/>
    <w:rsid w:val="00376BFF"/>
    <w:rsid w:val="003C2A68"/>
    <w:rsid w:val="004A564A"/>
    <w:rsid w:val="004C2C31"/>
    <w:rsid w:val="004D005A"/>
    <w:rsid w:val="005264AE"/>
    <w:rsid w:val="005A10DB"/>
    <w:rsid w:val="0066797A"/>
    <w:rsid w:val="006F4ACD"/>
    <w:rsid w:val="00747E78"/>
    <w:rsid w:val="00753C46"/>
    <w:rsid w:val="007B37F3"/>
    <w:rsid w:val="007D575E"/>
    <w:rsid w:val="008E539F"/>
    <w:rsid w:val="00904652"/>
    <w:rsid w:val="009460A5"/>
    <w:rsid w:val="00971FE7"/>
    <w:rsid w:val="00A831C1"/>
    <w:rsid w:val="00A94536"/>
    <w:rsid w:val="00AD1FD8"/>
    <w:rsid w:val="00B12968"/>
    <w:rsid w:val="00B24E82"/>
    <w:rsid w:val="00B53009"/>
    <w:rsid w:val="00B73DEE"/>
    <w:rsid w:val="00B97F24"/>
    <w:rsid w:val="00BF5F2E"/>
    <w:rsid w:val="00C03F4E"/>
    <w:rsid w:val="00C25324"/>
    <w:rsid w:val="00C84B82"/>
    <w:rsid w:val="00DB0E28"/>
    <w:rsid w:val="00DC314D"/>
    <w:rsid w:val="00DE4DD1"/>
    <w:rsid w:val="00E63A76"/>
    <w:rsid w:val="00F101FD"/>
    <w:rsid w:val="00F81B74"/>
    <w:rsid w:val="00F82D63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6798-CE5B-4665-827A-2D5A5B3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31"/>
    <w:pPr>
      <w:ind w:left="720"/>
      <w:contextualSpacing/>
    </w:pPr>
  </w:style>
  <w:style w:type="table" w:styleId="Tabela-Siatka">
    <w:name w:val="Table Grid"/>
    <w:basedOn w:val="Standardowy"/>
    <w:uiPriority w:val="39"/>
    <w:rsid w:val="004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4C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C2C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2C31"/>
  </w:style>
  <w:style w:type="paragraph" w:styleId="Stopka">
    <w:name w:val="footer"/>
    <w:basedOn w:val="Normalny"/>
    <w:link w:val="StopkaZnak"/>
    <w:uiPriority w:val="99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31"/>
  </w:style>
  <w:style w:type="character" w:styleId="Hipercze">
    <w:name w:val="Hyperlink"/>
    <w:basedOn w:val="Domylnaczcionkaakapitu"/>
    <w:uiPriority w:val="99"/>
    <w:unhideWhenUsed/>
    <w:rsid w:val="004C2C3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1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ssip.gov.pl/node/7958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Kucharczyk</dc:creator>
  <cp:lastModifiedBy>Rafał Jędrzejowski</cp:lastModifiedBy>
  <cp:revision>2</cp:revision>
  <cp:lastPrinted>2025-02-20T11:59:00Z</cp:lastPrinted>
  <dcterms:created xsi:type="dcterms:W3CDTF">2025-02-24T10:06:00Z</dcterms:created>
  <dcterms:modified xsi:type="dcterms:W3CDTF">2025-02-24T10:06:00Z</dcterms:modified>
</cp:coreProperties>
</file>