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608E" w14:textId="77777777" w:rsidR="00936C07" w:rsidRPr="007A7D39" w:rsidRDefault="00936C07" w:rsidP="00936C07">
      <w:pPr>
        <w:spacing w:line="360" w:lineRule="auto"/>
        <w:rPr>
          <w:rFonts w:eastAsia="Calibri"/>
          <w:szCs w:val="26"/>
          <w:lang w:eastAsia="en-US"/>
        </w:rPr>
      </w:pPr>
      <w:r w:rsidRPr="007A7D39">
        <w:rPr>
          <w:rFonts w:eastAsia="Calibri"/>
          <w:noProof/>
          <w:szCs w:val="26"/>
          <w:lang w:eastAsia="en-US"/>
          <w14:ligatures w14:val="standardContextual"/>
        </w:rPr>
        <w:drawing>
          <wp:anchor distT="0" distB="0" distL="114935" distR="114935" simplePos="0" relativeHeight="251659264" behindDoc="0" locked="0" layoutInCell="0" allowOverlap="1" wp14:anchorId="7A522AE3" wp14:editId="3D443356">
            <wp:simplePos x="0" y="0"/>
            <wp:positionH relativeFrom="column">
              <wp:posOffset>939346</wp:posOffset>
            </wp:positionH>
            <wp:positionV relativeFrom="paragraph">
              <wp:posOffset>-258808</wp:posOffset>
            </wp:positionV>
            <wp:extent cx="499110" cy="474980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" t="-50" r="-47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749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BFB6F" w14:textId="77777777" w:rsidR="00936C07" w:rsidRPr="007A7D39" w:rsidRDefault="00936C07" w:rsidP="00936C07">
      <w:pPr>
        <w:pStyle w:val="Nagwek"/>
        <w:ind w:left="708"/>
        <w:rPr>
          <w:b/>
        </w:rPr>
      </w:pPr>
      <w:r w:rsidRPr="007A7D39">
        <w:rPr>
          <w:b/>
        </w:rPr>
        <w:t xml:space="preserve"> KRAJOWA SZKOŁA </w:t>
      </w:r>
    </w:p>
    <w:p w14:paraId="0B598E9E" w14:textId="77777777" w:rsidR="00936C07" w:rsidRPr="00695B48" w:rsidRDefault="00936C07" w:rsidP="00936C07">
      <w:pPr>
        <w:pStyle w:val="Nagwek"/>
        <w:rPr>
          <w:b/>
        </w:rPr>
      </w:pPr>
      <w:r w:rsidRPr="007A7D39">
        <w:rPr>
          <w:b/>
        </w:rPr>
        <w:t>SĄDOWNICTWA I PROKURATURY</w:t>
      </w:r>
    </w:p>
    <w:p w14:paraId="05C10D35" w14:textId="77777777" w:rsidR="00936C07" w:rsidRDefault="00936C07" w:rsidP="00936C07">
      <w:pPr>
        <w:spacing w:line="360" w:lineRule="auto"/>
        <w:rPr>
          <w:rFonts w:eastAsia="Calibri"/>
          <w:szCs w:val="26"/>
          <w:lang w:eastAsia="en-US"/>
        </w:rPr>
      </w:pPr>
    </w:p>
    <w:p w14:paraId="5A245A82" w14:textId="550AC1EA" w:rsidR="00936C07" w:rsidRPr="00C41535" w:rsidRDefault="00936C07" w:rsidP="00936C07">
      <w:pPr>
        <w:spacing w:line="360" w:lineRule="auto"/>
        <w:rPr>
          <w:rFonts w:eastAsia="Calibri"/>
          <w:szCs w:val="26"/>
          <w:lang w:eastAsia="en-US"/>
        </w:rPr>
      </w:pPr>
      <w:r w:rsidRPr="00936C07">
        <w:rPr>
          <w:rFonts w:eastAsia="Calibri"/>
          <w:szCs w:val="26"/>
          <w:lang w:eastAsia="en-US"/>
        </w:rPr>
        <w:t>OAP-II.420.2.9.2025 </w:t>
      </w:r>
      <w:r>
        <w:rPr>
          <w:rFonts w:eastAsia="Calibri"/>
          <w:szCs w:val="26"/>
          <w:lang w:eastAsia="en-US"/>
        </w:rPr>
        <w:tab/>
      </w:r>
      <w:r>
        <w:rPr>
          <w:rFonts w:eastAsia="Calibri"/>
          <w:szCs w:val="26"/>
          <w:lang w:eastAsia="en-US"/>
        </w:rPr>
        <w:tab/>
      </w:r>
      <w:r>
        <w:rPr>
          <w:rFonts w:eastAsia="Calibri"/>
          <w:szCs w:val="26"/>
          <w:lang w:eastAsia="en-US"/>
        </w:rPr>
        <w:tab/>
        <w:t xml:space="preserve">                                          </w:t>
      </w:r>
      <w:r w:rsidRPr="00BB1662">
        <w:rPr>
          <w:rFonts w:eastAsia="Calibri"/>
        </w:rPr>
        <w:t xml:space="preserve">Kraków, dnia </w:t>
      </w:r>
      <w:r w:rsidR="00EA32B9">
        <w:rPr>
          <w:rFonts w:eastAsia="Calibri"/>
        </w:rPr>
        <w:t>20</w:t>
      </w:r>
      <w:r>
        <w:rPr>
          <w:rFonts w:eastAsia="Calibri"/>
        </w:rPr>
        <w:t xml:space="preserve"> lutego 2026</w:t>
      </w:r>
      <w:r w:rsidRPr="00BB1662">
        <w:rPr>
          <w:rFonts w:eastAsia="Calibri"/>
        </w:rPr>
        <w:t xml:space="preserve"> r.</w:t>
      </w:r>
    </w:p>
    <w:p w14:paraId="3FB1062B" w14:textId="77777777" w:rsidR="00936C07" w:rsidRPr="00BB1662" w:rsidRDefault="00936C07" w:rsidP="00936C07">
      <w:pPr>
        <w:tabs>
          <w:tab w:val="left" w:pos="3402"/>
        </w:tabs>
        <w:spacing w:line="360" w:lineRule="auto"/>
        <w:jc w:val="right"/>
        <w:rPr>
          <w:rFonts w:eastAsia="Calibri"/>
          <w:szCs w:val="26"/>
          <w:lang w:eastAsia="en-US"/>
        </w:rPr>
      </w:pPr>
    </w:p>
    <w:p w14:paraId="05466A67" w14:textId="77777777" w:rsidR="00936C07" w:rsidRPr="00BB1662" w:rsidRDefault="00936C07" w:rsidP="00936C07">
      <w:pPr>
        <w:spacing w:line="360" w:lineRule="auto"/>
        <w:jc w:val="both"/>
        <w:rPr>
          <w:szCs w:val="26"/>
        </w:rPr>
      </w:pPr>
    </w:p>
    <w:p w14:paraId="796CAF88" w14:textId="77777777" w:rsidR="00936C07" w:rsidRPr="00BB1662" w:rsidRDefault="00936C07" w:rsidP="00936C07">
      <w:pPr>
        <w:spacing w:line="360" w:lineRule="auto"/>
        <w:jc w:val="both"/>
        <w:rPr>
          <w:szCs w:val="26"/>
        </w:rPr>
      </w:pPr>
    </w:p>
    <w:p w14:paraId="5996E47F" w14:textId="77777777" w:rsidR="00936C07" w:rsidRPr="00D258C6" w:rsidRDefault="00936C07" w:rsidP="00936C07">
      <w:pPr>
        <w:spacing w:after="120" w:line="276" w:lineRule="auto"/>
        <w:ind w:left="4248"/>
        <w:rPr>
          <w:b/>
          <w:sz w:val="28"/>
          <w:szCs w:val="28"/>
        </w:rPr>
      </w:pPr>
      <w:r w:rsidRPr="00D258C6">
        <w:rPr>
          <w:b/>
          <w:sz w:val="28"/>
          <w:szCs w:val="28"/>
        </w:rPr>
        <w:t>Patroni Koordynatorzy</w:t>
      </w:r>
    </w:p>
    <w:p w14:paraId="0CC8D227" w14:textId="77777777" w:rsidR="00936C07" w:rsidRPr="00D258C6" w:rsidRDefault="00936C07" w:rsidP="00936C07">
      <w:pPr>
        <w:spacing w:after="120" w:line="276" w:lineRule="auto"/>
        <w:ind w:left="4248"/>
        <w:rPr>
          <w:b/>
          <w:sz w:val="28"/>
          <w:szCs w:val="28"/>
        </w:rPr>
      </w:pPr>
      <w:r w:rsidRPr="00D258C6">
        <w:rPr>
          <w:b/>
          <w:sz w:val="28"/>
          <w:szCs w:val="28"/>
        </w:rPr>
        <w:t xml:space="preserve">oraz Patroni Praktyk                                                                       </w:t>
      </w:r>
    </w:p>
    <w:p w14:paraId="0F32D8DE" w14:textId="77777777" w:rsidR="00936C07" w:rsidRPr="00D258C6" w:rsidRDefault="00936C07" w:rsidP="00936C07">
      <w:pPr>
        <w:spacing w:after="120" w:line="276" w:lineRule="auto"/>
        <w:ind w:left="4248"/>
        <w:rPr>
          <w:b/>
          <w:sz w:val="28"/>
          <w:szCs w:val="28"/>
        </w:rPr>
      </w:pPr>
      <w:r w:rsidRPr="00D258C6">
        <w:rPr>
          <w:b/>
          <w:sz w:val="28"/>
          <w:szCs w:val="28"/>
        </w:rPr>
        <w:t xml:space="preserve">aplikantów aplikacji   </w:t>
      </w:r>
    </w:p>
    <w:p w14:paraId="2CB6870E" w14:textId="77777777" w:rsidR="00936C07" w:rsidRPr="00D258C6" w:rsidRDefault="00936C07" w:rsidP="00936C07">
      <w:pPr>
        <w:spacing w:after="120" w:line="276" w:lineRule="auto"/>
        <w:ind w:left="4248"/>
        <w:rPr>
          <w:b/>
          <w:sz w:val="28"/>
          <w:szCs w:val="28"/>
        </w:rPr>
      </w:pPr>
      <w:r w:rsidRPr="00D258C6">
        <w:rPr>
          <w:b/>
          <w:sz w:val="28"/>
          <w:szCs w:val="28"/>
        </w:rPr>
        <w:t>prokuratorskiej</w:t>
      </w:r>
    </w:p>
    <w:p w14:paraId="7167E5B8" w14:textId="77777777" w:rsidR="00936C07" w:rsidRDefault="00936C07" w:rsidP="00936C07">
      <w:pPr>
        <w:spacing w:after="120" w:line="276" w:lineRule="auto"/>
      </w:pPr>
      <w:r w:rsidRPr="00BB1662">
        <w:t xml:space="preserve">                                                                                            </w:t>
      </w:r>
    </w:p>
    <w:p w14:paraId="39E4C88B" w14:textId="77777777" w:rsidR="00936C07" w:rsidRPr="00BB1662" w:rsidRDefault="00936C07" w:rsidP="00936C07">
      <w:pPr>
        <w:spacing w:after="120" w:line="276" w:lineRule="auto"/>
      </w:pPr>
      <w:r w:rsidRPr="00BB1662">
        <w:t xml:space="preserve">                                                                             </w:t>
      </w:r>
    </w:p>
    <w:p w14:paraId="18EE4A59" w14:textId="6202BC67" w:rsidR="00936C07" w:rsidRPr="00BB1662" w:rsidRDefault="00936C07" w:rsidP="00936C07">
      <w:pPr>
        <w:spacing w:after="120" w:line="276" w:lineRule="auto"/>
        <w:rPr>
          <w:b/>
          <w:i/>
        </w:rPr>
      </w:pPr>
      <w:r w:rsidRPr="00BB1662">
        <w:rPr>
          <w:b/>
          <w:i/>
        </w:rPr>
        <w:t>Dotyczy:  praktyk aplikantów aplikacji prokuratorskiej X</w:t>
      </w:r>
      <w:r>
        <w:rPr>
          <w:b/>
          <w:i/>
        </w:rPr>
        <w:t>V</w:t>
      </w:r>
      <w:r w:rsidRPr="00BB1662">
        <w:rPr>
          <w:b/>
          <w:i/>
        </w:rPr>
        <w:t xml:space="preserve"> rocznika po 2</w:t>
      </w:r>
      <w:r>
        <w:rPr>
          <w:b/>
          <w:i/>
        </w:rPr>
        <w:t>5</w:t>
      </w:r>
      <w:r w:rsidRPr="00BB1662">
        <w:rPr>
          <w:b/>
          <w:i/>
        </w:rPr>
        <w:t xml:space="preserve"> zjeździe</w:t>
      </w:r>
    </w:p>
    <w:p w14:paraId="08A7079C" w14:textId="77777777" w:rsidR="00936C07" w:rsidRPr="00BB1662" w:rsidRDefault="00936C07" w:rsidP="00936C07">
      <w:pPr>
        <w:spacing w:after="120" w:line="276" w:lineRule="auto"/>
        <w:rPr>
          <w:b/>
          <w:i/>
        </w:rPr>
      </w:pPr>
    </w:p>
    <w:p w14:paraId="5B3375C3" w14:textId="4A41AC8C" w:rsidR="00936C07" w:rsidRPr="00417604" w:rsidRDefault="00936C07" w:rsidP="00417604">
      <w:pPr>
        <w:spacing w:after="240" w:line="360" w:lineRule="auto"/>
        <w:ind w:firstLine="708"/>
        <w:jc w:val="both"/>
      </w:pPr>
      <w:r w:rsidRPr="00417604">
        <w:t xml:space="preserve">W oparciu o § 1 ust. 2 zarządzenia Dyrektora Krajowej Szkoły Sądownictwa </w:t>
      </w:r>
      <w:r w:rsidRPr="00417604">
        <w:br/>
        <w:t xml:space="preserve">i  Prokuratury w Krakowie Nr 539/2021 z dnia 27 października 2021 roku w sprawie szczegółowych zasad odbywania praktyki przez aplikantów aplikacji sędziowskiej </w:t>
      </w:r>
      <w:r w:rsidRPr="00417604">
        <w:br/>
        <w:t xml:space="preserve">i prokuratorskiej, uprzejmie przedstawiam szczegółowy zakres tematyczny, który powinien być przedmiotem praktyk aplikantów aplikacji prokuratorskiej odbywanych w dniach </w:t>
      </w:r>
      <w:r w:rsidRPr="00417604">
        <w:rPr>
          <w:b/>
        </w:rPr>
        <w:t>od 30 marca do 10 kwietnia 2026 roku w prokuraturach okręgowych lub regionalnych w wydziałach do spraw przestępczości gospodarczej (2 tygodnie) i od 13 do 17 kwietnia 2026 roku w prokuraturach rejonowych działach śledczych (1 tydzień).</w:t>
      </w:r>
    </w:p>
    <w:p w14:paraId="526B1329" w14:textId="77777777" w:rsidR="00417604" w:rsidRPr="00417604" w:rsidRDefault="00417604" w:rsidP="00417604">
      <w:pPr>
        <w:spacing w:after="240" w:line="360" w:lineRule="auto"/>
        <w:ind w:firstLine="708"/>
        <w:jc w:val="both"/>
        <w:rPr>
          <w:color w:val="FF0000"/>
        </w:rPr>
      </w:pPr>
      <w:r w:rsidRPr="00417604">
        <w:t>Celem praktyki jest udział w czynnościach postępowania przygotowawczego podejmowanych w sprawach objętych tematyką zjazdu.</w:t>
      </w:r>
    </w:p>
    <w:p w14:paraId="70CAF23E" w14:textId="77777777" w:rsidR="00417604" w:rsidRPr="00417604" w:rsidRDefault="00417604" w:rsidP="00417604">
      <w:pPr>
        <w:spacing w:line="360" w:lineRule="auto"/>
        <w:ind w:firstLine="708"/>
        <w:jc w:val="both"/>
        <w:rPr>
          <w:b/>
        </w:rPr>
      </w:pPr>
      <w:r w:rsidRPr="00417604">
        <w:rPr>
          <w:b/>
        </w:rPr>
        <w:t>Patroni praktyk w prokuraturach okręgowych lub regionalnych winni zadbać, aby aplikanci:</w:t>
      </w:r>
    </w:p>
    <w:p w14:paraId="34BC395F" w14:textId="445F8FB0" w:rsidR="00417604" w:rsidRPr="00417604" w:rsidRDefault="00417604" w:rsidP="00417604">
      <w:pPr>
        <w:pStyle w:val="Akapitzlist"/>
        <w:numPr>
          <w:ilvl w:val="0"/>
          <w:numId w:val="4"/>
        </w:numPr>
        <w:spacing w:line="360" w:lineRule="auto"/>
        <w:jc w:val="both"/>
      </w:pPr>
      <w:r w:rsidRPr="00417604">
        <w:t xml:space="preserve">przeanalizowali </w:t>
      </w:r>
      <w:r w:rsidR="00C06E73">
        <w:t xml:space="preserve">w miarę możliwości </w:t>
      </w:r>
      <w:r w:rsidRPr="00417604">
        <w:t xml:space="preserve">co najmniej </w:t>
      </w:r>
      <w:r w:rsidR="00291B55">
        <w:t>3</w:t>
      </w:r>
      <w:r w:rsidRPr="00417604">
        <w:t xml:space="preserve"> spraw</w:t>
      </w:r>
      <w:r w:rsidR="00C06E73">
        <w:t>y</w:t>
      </w:r>
      <w:r w:rsidRPr="00417604">
        <w:t xml:space="preserve"> gospodarcz</w:t>
      </w:r>
      <w:r w:rsidR="00C06E73">
        <w:t>e</w:t>
      </w:r>
      <w:r w:rsidRPr="00417604">
        <w:t xml:space="preserve"> dotycząc</w:t>
      </w:r>
      <w:r w:rsidR="00C06E73">
        <w:t xml:space="preserve">e </w:t>
      </w:r>
      <w:r w:rsidRPr="00417604">
        <w:t>różnych zagadnień prawa gospodarczego i sporządzili w nich projekty decyzji incydentalnych lub kończących postępowanie przygotowawcze</w:t>
      </w:r>
      <w:r w:rsidR="00C06E73">
        <w:t>,</w:t>
      </w:r>
    </w:p>
    <w:p w14:paraId="33F1CD4D" w14:textId="595DDCD5" w:rsidR="00417604" w:rsidRPr="00417604" w:rsidRDefault="00417604" w:rsidP="00417604">
      <w:pPr>
        <w:pStyle w:val="Akapitzlist"/>
        <w:numPr>
          <w:ilvl w:val="0"/>
          <w:numId w:val="4"/>
        </w:numPr>
        <w:spacing w:line="360" w:lineRule="auto"/>
        <w:jc w:val="both"/>
      </w:pPr>
      <w:r w:rsidRPr="00417604">
        <w:lastRenderedPageBreak/>
        <w:t xml:space="preserve">uczestniczyli </w:t>
      </w:r>
      <w:r w:rsidR="00C06E73">
        <w:t>w czynności</w:t>
      </w:r>
      <w:r w:rsidRPr="00417604">
        <w:t xml:space="preserve"> przesłuchania świad</w:t>
      </w:r>
      <w:r w:rsidR="00C06E73">
        <w:t>ka</w:t>
      </w:r>
      <w:r w:rsidRPr="00417604">
        <w:t xml:space="preserve"> lub podejrzan</w:t>
      </w:r>
      <w:r w:rsidR="00C06E73">
        <w:t>ego</w:t>
      </w:r>
      <w:r w:rsidRPr="00417604">
        <w:t xml:space="preserve"> w spraw</w:t>
      </w:r>
      <w:r w:rsidR="00C06E73">
        <w:t>ie</w:t>
      </w:r>
      <w:r w:rsidRPr="00417604">
        <w:t xml:space="preserve"> gospodarcz</w:t>
      </w:r>
      <w:r w:rsidR="00C06E73">
        <w:t>ej,</w:t>
      </w:r>
    </w:p>
    <w:p w14:paraId="5E5DCA01" w14:textId="3C35862D" w:rsidR="00417604" w:rsidRPr="00417604" w:rsidRDefault="00417604" w:rsidP="00417604">
      <w:pPr>
        <w:pStyle w:val="Akapitzlist"/>
        <w:numPr>
          <w:ilvl w:val="0"/>
          <w:numId w:val="4"/>
        </w:numPr>
        <w:spacing w:after="240" w:line="360" w:lineRule="auto"/>
        <w:jc w:val="both"/>
      </w:pPr>
      <w:r w:rsidRPr="00417604">
        <w:t xml:space="preserve">sporządzili </w:t>
      </w:r>
      <w:r w:rsidR="00C06E73" w:rsidRPr="00417604">
        <w:t>w</w:t>
      </w:r>
      <w:r w:rsidR="00C06E73">
        <w:t xml:space="preserve"> miarę możliwości</w:t>
      </w:r>
      <w:r w:rsidR="00C06E73" w:rsidRPr="00417604">
        <w:t xml:space="preserve"> </w:t>
      </w:r>
      <w:r w:rsidRPr="00417604">
        <w:t xml:space="preserve">co najmniej </w:t>
      </w:r>
      <w:r w:rsidR="00C06E73">
        <w:t>2</w:t>
      </w:r>
      <w:r w:rsidRPr="00417604">
        <w:t xml:space="preserve"> projekt</w:t>
      </w:r>
      <w:r w:rsidR="00C06E73">
        <w:t>y</w:t>
      </w:r>
      <w:r w:rsidRPr="00417604">
        <w:t xml:space="preserve"> wniosków prokuratora o</w:t>
      </w:r>
      <w:r w:rsidR="00C06E73">
        <w:t> </w:t>
      </w:r>
      <w:r w:rsidRPr="00417604">
        <w:t>stwierdzenie odpowiedzialności podmiotu zbiorowego</w:t>
      </w:r>
      <w:r w:rsidR="00C06E73">
        <w:t>.</w:t>
      </w:r>
    </w:p>
    <w:p w14:paraId="4F1B69B2" w14:textId="77777777" w:rsidR="00417604" w:rsidRPr="00417604" w:rsidRDefault="00417604" w:rsidP="00417604">
      <w:pPr>
        <w:spacing w:line="360" w:lineRule="auto"/>
        <w:ind w:firstLine="708"/>
        <w:jc w:val="both"/>
        <w:rPr>
          <w:b/>
        </w:rPr>
      </w:pPr>
      <w:r w:rsidRPr="00417604">
        <w:rPr>
          <w:b/>
        </w:rPr>
        <w:t>Patroni praktyk w prokuraturach rejonowych winni zadbać, aby aplikanci:</w:t>
      </w:r>
    </w:p>
    <w:p w14:paraId="69B2A9A1" w14:textId="3BDE5195" w:rsidR="00417604" w:rsidRPr="00417604" w:rsidRDefault="00417604" w:rsidP="00417604">
      <w:pPr>
        <w:pStyle w:val="Akapitzlist"/>
        <w:numPr>
          <w:ilvl w:val="0"/>
          <w:numId w:val="5"/>
        </w:numPr>
        <w:spacing w:line="360" w:lineRule="auto"/>
        <w:ind w:left="709"/>
        <w:jc w:val="both"/>
      </w:pPr>
      <w:r w:rsidRPr="00417604">
        <w:t xml:space="preserve">wzięli udział w </w:t>
      </w:r>
      <w:r w:rsidR="00C06E73">
        <w:t>czynności</w:t>
      </w:r>
      <w:r w:rsidRPr="00417604">
        <w:t xml:space="preserve"> przesłuchania świadk</w:t>
      </w:r>
      <w:r w:rsidR="00C06E73">
        <w:t>a</w:t>
      </w:r>
      <w:r w:rsidRPr="00417604">
        <w:t xml:space="preserve"> lub podejrzan</w:t>
      </w:r>
      <w:r w:rsidR="00C06E73">
        <w:t>ego</w:t>
      </w:r>
      <w:r w:rsidRPr="00417604">
        <w:t xml:space="preserve"> w sprawach o</w:t>
      </w:r>
      <w:r w:rsidR="00C06E73">
        <w:t> </w:t>
      </w:r>
      <w:r w:rsidRPr="00417604">
        <w:t>przestępstwa z rozdziału XXXVI k.k. i przestępstw z k.s.h.</w:t>
      </w:r>
    </w:p>
    <w:p w14:paraId="062268C6" w14:textId="273EEDFA" w:rsidR="00417604" w:rsidRPr="00417604" w:rsidRDefault="00417604" w:rsidP="00417604">
      <w:pPr>
        <w:pStyle w:val="Akapitzlist"/>
        <w:numPr>
          <w:ilvl w:val="0"/>
          <w:numId w:val="5"/>
        </w:numPr>
        <w:spacing w:line="360" w:lineRule="auto"/>
        <w:ind w:left="709"/>
        <w:jc w:val="both"/>
      </w:pPr>
      <w:r w:rsidRPr="00417604">
        <w:t>sporządzili w tych sprawach</w:t>
      </w:r>
      <w:r w:rsidR="00C06E73">
        <w:t xml:space="preserve"> w miarę możliwości</w:t>
      </w:r>
      <w:r w:rsidRPr="00417604">
        <w:t xml:space="preserve"> co najmniej </w:t>
      </w:r>
      <w:r w:rsidR="00C06E73">
        <w:t>2</w:t>
      </w:r>
      <w:r w:rsidRPr="00417604">
        <w:t xml:space="preserve"> decyzje kończące postępowanie przygotowawcze</w:t>
      </w:r>
    </w:p>
    <w:p w14:paraId="711A1AE4" w14:textId="15648961" w:rsidR="00417604" w:rsidRPr="00417604" w:rsidRDefault="00417604" w:rsidP="00417604">
      <w:pPr>
        <w:pStyle w:val="Akapitzlist"/>
        <w:numPr>
          <w:ilvl w:val="0"/>
          <w:numId w:val="5"/>
        </w:numPr>
        <w:spacing w:after="240" w:line="360" w:lineRule="auto"/>
        <w:ind w:left="709"/>
        <w:jc w:val="both"/>
      </w:pPr>
      <w:r w:rsidRPr="00417604">
        <w:t xml:space="preserve">sporządzili </w:t>
      </w:r>
      <w:r w:rsidR="00C06E73">
        <w:t xml:space="preserve">w miarę możliwości </w:t>
      </w:r>
      <w:r w:rsidRPr="00417604">
        <w:t xml:space="preserve">co najmniej </w:t>
      </w:r>
      <w:r w:rsidR="00C06E73">
        <w:t>1 wniosek</w:t>
      </w:r>
      <w:r w:rsidRPr="00417604">
        <w:t xml:space="preserve"> prokuratora o stwierdzenie odpowiedzialności podmiotu zbiorowego.</w:t>
      </w:r>
    </w:p>
    <w:p w14:paraId="1186880E" w14:textId="77777777" w:rsidR="00417604" w:rsidRPr="00417604" w:rsidRDefault="00417604" w:rsidP="00417604">
      <w:pPr>
        <w:spacing w:after="240" w:line="360" w:lineRule="auto"/>
        <w:ind w:firstLine="708"/>
        <w:jc w:val="both"/>
      </w:pPr>
      <w:r w:rsidRPr="00417604">
        <w:t xml:space="preserve">Niezależnie od wyżej wymienionych czynności aplikanci powinni dodatkowo brać udział w czynnościach oględzin miejsc zdarzenia, miejsc ujawnienia zwłok </w:t>
      </w:r>
      <w:r w:rsidRPr="00417604">
        <w:br/>
        <w:t xml:space="preserve">i oględzin zwłok w miejscu ich ujawnienia oraz uczestniczyć w rozprawach </w:t>
      </w:r>
      <w:r w:rsidRPr="00417604">
        <w:br/>
        <w:t>i posiedzeniach sądu (również w charakterze oskarżyciela publicznego).</w:t>
      </w:r>
    </w:p>
    <w:p w14:paraId="711E31DD" w14:textId="77777777" w:rsidR="00417604" w:rsidRPr="00417604" w:rsidRDefault="00417604" w:rsidP="00417604">
      <w:pPr>
        <w:spacing w:after="240" w:line="360" w:lineRule="auto"/>
        <w:ind w:firstLine="708"/>
        <w:jc w:val="both"/>
        <w:rPr>
          <w:b/>
        </w:rPr>
      </w:pPr>
      <w:r w:rsidRPr="00417604">
        <w:rPr>
          <w:b/>
        </w:rPr>
        <w:t>Praktyka powinna przygotować do sprawdzianu.</w:t>
      </w:r>
    </w:p>
    <w:p w14:paraId="2E6BCEA4" w14:textId="66915B2E" w:rsidR="00417604" w:rsidRPr="00417604" w:rsidRDefault="00417604" w:rsidP="00417604">
      <w:pPr>
        <w:spacing w:line="360" w:lineRule="auto"/>
        <w:ind w:firstLine="708"/>
        <w:jc w:val="both"/>
      </w:pPr>
      <w:r w:rsidRPr="00417604">
        <w:t xml:space="preserve">Przedmiotem sprawdzianu, który aplikanci będą pisać po odbyciu praktyk po 25 zjeździe, tj. w dniu </w:t>
      </w:r>
      <w:r w:rsidR="00C06E73">
        <w:t>20 kwietnia 2025</w:t>
      </w:r>
      <w:r w:rsidRPr="00417604">
        <w:t xml:space="preserve"> r</w:t>
      </w:r>
      <w:r w:rsidR="00C06E73">
        <w:t>oku</w:t>
      </w:r>
      <w:r w:rsidRPr="00417604">
        <w:t xml:space="preserve">, będzie sporządzenie projektu wniosku prokuratora o stwierdzenie odpowiedzialności podmiotu zbiorowego. Dlatego ważnym jest, aby aplikanci podczas praktyk opanowali tę umiejętność w jak najwyższym stopniu.     </w:t>
      </w:r>
    </w:p>
    <w:p w14:paraId="006D2792" w14:textId="77777777" w:rsidR="00936C07" w:rsidRDefault="00936C07" w:rsidP="00936C07">
      <w:pPr>
        <w:spacing w:line="360" w:lineRule="auto"/>
        <w:jc w:val="both"/>
      </w:pPr>
    </w:p>
    <w:p w14:paraId="7693C0EF" w14:textId="77777777" w:rsidR="00936C07" w:rsidRPr="00BB1662" w:rsidRDefault="00936C07" w:rsidP="00936C07">
      <w:pPr>
        <w:jc w:val="both"/>
      </w:pPr>
      <w:r w:rsidRPr="00BB1662"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1662">
        <w:t xml:space="preserve"> Kierownik</w:t>
      </w:r>
    </w:p>
    <w:p w14:paraId="1D5D9A2C" w14:textId="77777777" w:rsidR="00936C07" w:rsidRPr="00BB1662" w:rsidRDefault="00936C07" w:rsidP="00936C07">
      <w:pPr>
        <w:jc w:val="both"/>
      </w:pPr>
      <w:r w:rsidRPr="00BB1662">
        <w:t xml:space="preserve">                                        </w:t>
      </w:r>
      <w:r w:rsidRPr="00BB1662">
        <w:tab/>
      </w:r>
      <w:r w:rsidRPr="00BB1662">
        <w:tab/>
      </w:r>
      <w:r w:rsidRPr="00BB1662">
        <w:tab/>
      </w:r>
      <w:r w:rsidRPr="00BB1662">
        <w:tab/>
      </w:r>
      <w:r w:rsidRPr="00BB1662">
        <w:tab/>
        <w:t xml:space="preserve">    Działu Dydaktycznego</w:t>
      </w:r>
    </w:p>
    <w:p w14:paraId="2AF0470D" w14:textId="77777777" w:rsidR="00936C07" w:rsidRPr="00BB1662" w:rsidRDefault="00936C07" w:rsidP="00936C07">
      <w:pPr>
        <w:ind w:left="4248" w:firstLine="708"/>
        <w:jc w:val="both"/>
      </w:pPr>
      <w:r w:rsidRPr="00BB1662">
        <w:t xml:space="preserve">     w Ośrodku Aplikacji Prokuratorskiej</w:t>
      </w:r>
    </w:p>
    <w:p w14:paraId="5EE298FC" w14:textId="77777777" w:rsidR="00936C07" w:rsidRPr="00BB1662" w:rsidRDefault="00936C07" w:rsidP="00936C07">
      <w:pPr>
        <w:jc w:val="both"/>
      </w:pPr>
    </w:p>
    <w:p w14:paraId="3613DE87" w14:textId="77777777" w:rsidR="00936C07" w:rsidRPr="00BB1662" w:rsidRDefault="00936C07" w:rsidP="00936C07">
      <w:pPr>
        <w:ind w:left="6372"/>
        <w:jc w:val="both"/>
      </w:pPr>
      <w:r>
        <w:t>Seweryn Borek</w:t>
      </w:r>
    </w:p>
    <w:p w14:paraId="334CB8DC" w14:textId="77777777" w:rsidR="00936C07" w:rsidRPr="00BB1662" w:rsidRDefault="00936C07" w:rsidP="00936C07">
      <w:pPr>
        <w:ind w:left="6372"/>
        <w:jc w:val="both"/>
      </w:pPr>
      <w:r w:rsidRPr="00BB1662">
        <w:t xml:space="preserve">  </w:t>
      </w:r>
      <w:r>
        <w:t xml:space="preserve"> </w:t>
      </w:r>
      <w:r w:rsidRPr="00BB1662">
        <w:t xml:space="preserve"> prokurator</w:t>
      </w:r>
    </w:p>
    <w:p w14:paraId="215CA544" w14:textId="77777777" w:rsidR="00936C07" w:rsidRDefault="00936C07" w:rsidP="00936C07">
      <w:pPr>
        <w:jc w:val="both"/>
      </w:pPr>
    </w:p>
    <w:p w14:paraId="7A3CF745" w14:textId="77777777" w:rsidR="00936C07" w:rsidRDefault="00936C07" w:rsidP="00936C07">
      <w:pPr>
        <w:spacing w:line="360" w:lineRule="auto"/>
        <w:jc w:val="both"/>
      </w:pPr>
      <w:r w:rsidRPr="00BB1662">
        <w:t xml:space="preserve">                                      </w:t>
      </w:r>
    </w:p>
    <w:p w14:paraId="0FE6FC8B" w14:textId="77777777" w:rsidR="00936C07" w:rsidRDefault="00936C07" w:rsidP="00936C07">
      <w:pPr>
        <w:spacing w:line="360" w:lineRule="auto"/>
        <w:jc w:val="both"/>
        <w:rPr>
          <w:u w:val="single"/>
        </w:rPr>
      </w:pPr>
    </w:p>
    <w:p w14:paraId="1ED9B47D" w14:textId="77777777" w:rsidR="00C06E73" w:rsidRDefault="00C06E73" w:rsidP="00936C07">
      <w:pPr>
        <w:spacing w:line="360" w:lineRule="auto"/>
        <w:jc w:val="both"/>
        <w:rPr>
          <w:u w:val="single"/>
        </w:rPr>
      </w:pPr>
    </w:p>
    <w:p w14:paraId="61E4FBEC" w14:textId="77777777" w:rsidR="00C06E73" w:rsidRDefault="00C06E73" w:rsidP="00936C07">
      <w:pPr>
        <w:spacing w:line="360" w:lineRule="auto"/>
        <w:jc w:val="both"/>
        <w:rPr>
          <w:u w:val="single"/>
        </w:rPr>
      </w:pPr>
    </w:p>
    <w:p w14:paraId="58246ACF" w14:textId="77777777" w:rsidR="00C06E73" w:rsidRDefault="00C06E73" w:rsidP="00936C07">
      <w:pPr>
        <w:spacing w:line="360" w:lineRule="auto"/>
        <w:jc w:val="both"/>
        <w:rPr>
          <w:u w:val="single"/>
        </w:rPr>
      </w:pPr>
    </w:p>
    <w:p w14:paraId="2B731852" w14:textId="347A3FCD" w:rsidR="00936C07" w:rsidRPr="002C6024" w:rsidRDefault="00936C07" w:rsidP="00936C07">
      <w:pPr>
        <w:spacing w:line="360" w:lineRule="auto"/>
        <w:jc w:val="both"/>
      </w:pPr>
      <w:r w:rsidRPr="00607ACD">
        <w:rPr>
          <w:u w:val="single"/>
        </w:rPr>
        <w:lastRenderedPageBreak/>
        <w:t>Załącznik do zaleceń do praktyk – wyciąg z programu aplikacji prokuratorskiej</w:t>
      </w:r>
      <w:r>
        <w:rPr>
          <w:u w:val="single"/>
        </w:rPr>
        <w:t xml:space="preserve"> (</w:t>
      </w:r>
      <w:r w:rsidR="00C06E73">
        <w:rPr>
          <w:u w:val="single"/>
        </w:rPr>
        <w:t>25</w:t>
      </w:r>
      <w:r>
        <w:rPr>
          <w:u w:val="single"/>
        </w:rPr>
        <w:t xml:space="preserve"> zjazd)</w:t>
      </w:r>
    </w:p>
    <w:p w14:paraId="7978C1A0" w14:textId="77777777" w:rsidR="00936C07" w:rsidRDefault="00936C07" w:rsidP="00936C07">
      <w:pPr>
        <w:spacing w:after="120"/>
        <w:jc w:val="both"/>
        <w:rPr>
          <w:u w:val="single"/>
        </w:rPr>
      </w:pPr>
    </w:p>
    <w:p w14:paraId="568FBE61" w14:textId="77777777" w:rsidR="00C06E73" w:rsidRDefault="00C06E73" w:rsidP="00C06E73">
      <w:pPr>
        <w:keepNext/>
        <w:spacing w:before="360" w:after="120" w:line="360" w:lineRule="auto"/>
        <w:jc w:val="both"/>
        <w:outlineLvl w:val="1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Prawo gospodarcze</w:t>
      </w:r>
    </w:p>
    <w:p w14:paraId="63876541" w14:textId="77777777" w:rsidR="00C06E73" w:rsidRDefault="00C06E73" w:rsidP="00C06E73">
      <w:pPr>
        <w:tabs>
          <w:tab w:val="left" w:pos="315"/>
        </w:tabs>
        <w:spacing w:before="240" w:line="360" w:lineRule="auto"/>
        <w:ind w:firstLine="284"/>
        <w:jc w:val="both"/>
        <w:rPr>
          <w:bCs/>
          <w:u w:val="single"/>
        </w:rPr>
      </w:pPr>
      <w:r>
        <w:rPr>
          <w:bCs/>
          <w:u w:val="single"/>
        </w:rPr>
        <w:t xml:space="preserve">Zasady podejmowania i prowadzenia działalności gospodarczej. </w:t>
      </w:r>
    </w:p>
    <w:p w14:paraId="5C445C88" w14:textId="77777777" w:rsidR="00C06E73" w:rsidRDefault="00C06E73" w:rsidP="00C06E73">
      <w:pPr>
        <w:tabs>
          <w:tab w:val="left" w:pos="315"/>
        </w:tabs>
        <w:spacing w:line="360" w:lineRule="auto"/>
        <w:ind w:firstLine="284"/>
        <w:jc w:val="both"/>
        <w:rPr>
          <w:bCs/>
        </w:rPr>
      </w:pPr>
      <w:r>
        <w:rPr>
          <w:bCs/>
        </w:rPr>
        <w:t xml:space="preserve">Pojęcie obrotu gospodarczego. Pojęcie działalności gospodarczej. Zasada wolności działalności gospodarczej. Wolność gospodarcza w Konstytucji i prawie unijnym. Podejmowanie działalności gospodarczej. Zasady prowadzenia działalności gospodarczej. Ograniczenia w swobodzie prowadzenia działalności gospodarczej. </w:t>
      </w:r>
    </w:p>
    <w:p w14:paraId="179D3C36" w14:textId="77777777" w:rsidR="00C06E73" w:rsidRDefault="00C06E73" w:rsidP="00C06E73">
      <w:pPr>
        <w:tabs>
          <w:tab w:val="left" w:pos="315"/>
        </w:tabs>
        <w:spacing w:before="360" w:line="360" w:lineRule="auto"/>
        <w:ind w:firstLine="284"/>
        <w:jc w:val="both"/>
        <w:rPr>
          <w:bCs/>
          <w:u w:val="single"/>
        </w:rPr>
      </w:pPr>
      <w:r>
        <w:rPr>
          <w:bCs/>
          <w:u w:val="single"/>
        </w:rPr>
        <w:t xml:space="preserve">Przedsiębiorcy, organizacje </w:t>
      </w:r>
      <w:r>
        <w:rPr>
          <w:bCs/>
          <w:i/>
          <w:u w:val="single"/>
        </w:rPr>
        <w:t>non profit</w:t>
      </w:r>
      <w:r>
        <w:rPr>
          <w:bCs/>
          <w:u w:val="single"/>
        </w:rPr>
        <w:t xml:space="preserve"> i </w:t>
      </w:r>
      <w:r>
        <w:rPr>
          <w:bCs/>
          <w:i/>
          <w:u w:val="single"/>
        </w:rPr>
        <w:t>non for profit</w:t>
      </w:r>
      <w:r>
        <w:rPr>
          <w:bCs/>
          <w:u w:val="single"/>
        </w:rPr>
        <w:t xml:space="preserve"> oraz inne podmioty w działalności gospodarczej.</w:t>
      </w:r>
    </w:p>
    <w:p w14:paraId="061B984C" w14:textId="77777777" w:rsidR="00C06E73" w:rsidRDefault="00C06E73" w:rsidP="00C06E73">
      <w:pPr>
        <w:tabs>
          <w:tab w:val="left" w:pos="315"/>
        </w:tabs>
        <w:spacing w:line="360" w:lineRule="auto"/>
        <w:ind w:firstLine="284"/>
        <w:jc w:val="both"/>
        <w:rPr>
          <w:bCs/>
        </w:rPr>
      </w:pPr>
      <w:r>
        <w:rPr>
          <w:bCs/>
        </w:rPr>
        <w:t>Pojęcie przedsiębiorcy i przedsiębiorstwa. Organizacyjno-prawne formy prowadzenia działalności gospodarczej. Rejestr przedsiębiorców Krajowego Rejestru Sądowego, podmioty podlegające wpisowi i działy rejestru. Centralna Ewidencja i Informacja o Działalności Gospodarczej oraz Punkt Informacji dla Przedsiębiorcy. Zasady uczestnictwa przedsiębiorców zagranicznych i innych osób zagranicznych w obrocie gospodarczym na terytorium Rzeczpospolitej Polskiej.</w:t>
      </w:r>
    </w:p>
    <w:p w14:paraId="604EF263" w14:textId="77777777" w:rsidR="00C06E73" w:rsidRDefault="00C06E73" w:rsidP="00C06E73">
      <w:pPr>
        <w:keepNext/>
        <w:spacing w:before="240" w:line="360" w:lineRule="auto"/>
        <w:ind w:firstLine="284"/>
        <w:jc w:val="both"/>
      </w:pPr>
      <w:r>
        <w:rPr>
          <w:u w:val="single"/>
        </w:rPr>
        <w:t>Przedsiębiorca – jego firma i przedstawicielstwo</w:t>
      </w:r>
      <w:r>
        <w:t>.</w:t>
      </w:r>
    </w:p>
    <w:p w14:paraId="4FB5A711" w14:textId="77777777" w:rsidR="00C06E73" w:rsidRDefault="00C06E73" w:rsidP="00C06E73">
      <w:pPr>
        <w:spacing w:line="360" w:lineRule="auto"/>
        <w:ind w:firstLine="284"/>
        <w:jc w:val="both"/>
      </w:pPr>
      <w:r>
        <w:t>Firma przedsiębiorcy.</w:t>
      </w:r>
      <w:r>
        <w:rPr>
          <w:rFonts w:ascii="Arial" w:eastAsia="Arial" w:hAnsi="Arial" w:cs="Arial"/>
          <w:sz w:val="26"/>
        </w:rPr>
        <w:t xml:space="preserve"> </w:t>
      </w:r>
      <w:r>
        <w:t>Przedstawicielstwo przedsiębiorcy w obrocie gospodarczym. Prokura, jej cechy i rodzaje.</w:t>
      </w:r>
    </w:p>
    <w:p w14:paraId="03589C44" w14:textId="77777777" w:rsidR="00C06E73" w:rsidRDefault="00C06E73" w:rsidP="00C06E73">
      <w:pPr>
        <w:keepNext/>
        <w:spacing w:before="360" w:line="360" w:lineRule="auto"/>
        <w:ind w:firstLine="284"/>
        <w:jc w:val="both"/>
        <w:rPr>
          <w:u w:val="single"/>
        </w:rPr>
      </w:pPr>
      <w:r>
        <w:rPr>
          <w:u w:val="single"/>
        </w:rPr>
        <w:t>Spółka cywilna.</w:t>
      </w:r>
    </w:p>
    <w:p w14:paraId="796FA083" w14:textId="77777777" w:rsidR="00C06E73" w:rsidRDefault="00C06E73" w:rsidP="00C06E73">
      <w:pPr>
        <w:spacing w:line="360" w:lineRule="auto"/>
        <w:ind w:firstLine="284"/>
        <w:jc w:val="both"/>
      </w:pPr>
      <w:r>
        <w:t xml:space="preserve">Zasady odpowiedzialności za zobowiązania spółki cywilnej. Odpowiedzialność karna wspólnika za czyny na szkodę spółki. </w:t>
      </w:r>
    </w:p>
    <w:p w14:paraId="6C26E327" w14:textId="77777777" w:rsidR="00C06E73" w:rsidRDefault="00C06E73" w:rsidP="00C06E73">
      <w:pPr>
        <w:spacing w:before="360" w:line="360" w:lineRule="auto"/>
        <w:ind w:firstLine="284"/>
        <w:jc w:val="both"/>
        <w:rPr>
          <w:u w:val="single"/>
        </w:rPr>
      </w:pPr>
      <w:r>
        <w:rPr>
          <w:u w:val="single"/>
        </w:rPr>
        <w:t xml:space="preserve">Prawo handlowe. </w:t>
      </w:r>
    </w:p>
    <w:p w14:paraId="2AE548B4" w14:textId="77777777" w:rsidR="00C06E73" w:rsidRDefault="00C06E73" w:rsidP="00C06E73">
      <w:pPr>
        <w:spacing w:line="360" w:lineRule="auto"/>
        <w:ind w:firstLine="284"/>
        <w:jc w:val="both"/>
      </w:pPr>
      <w:r>
        <w:t xml:space="preserve">Spółki osobowe: spółka jawna, spółka komandytowa, spółka komandytowo-akcyjna, spółka partnerska – sposób tworzenia, podstawowe cechy, prowadzenie spraw i reprezentacja, zasady odpowiedzialności wspólników i spółek za zobowiązania spółki. </w:t>
      </w:r>
    </w:p>
    <w:p w14:paraId="3922ECD8" w14:textId="77777777" w:rsidR="00C06E73" w:rsidRDefault="00C06E73" w:rsidP="00C06E73">
      <w:pPr>
        <w:spacing w:before="240" w:line="360" w:lineRule="auto"/>
        <w:ind w:firstLine="284"/>
        <w:jc w:val="both"/>
      </w:pPr>
      <w:r>
        <w:t>Spółki kapitałowe: spółka z ograniczoną odpowiedzialnością i spółka akcyjna, spółka europejska. Sposoby tworzenia i pokrycia kapitału. Władze spółki i zasady reprezentacji. Zasady odpowiedzialności za zobowiązania spółki. Dematerializacja akcji.</w:t>
      </w:r>
    </w:p>
    <w:p w14:paraId="63A5B096" w14:textId="77777777" w:rsidR="00C06E73" w:rsidRPr="00526EAE" w:rsidRDefault="00C06E73" w:rsidP="00C06E73">
      <w:pPr>
        <w:spacing w:before="240" w:line="360" w:lineRule="auto"/>
        <w:ind w:firstLine="284"/>
        <w:jc w:val="both"/>
        <w:rPr>
          <w:u w:val="single"/>
        </w:rPr>
      </w:pPr>
      <w:bookmarkStart w:id="0" w:name="_Hlk210736830"/>
      <w:r w:rsidRPr="00526EAE">
        <w:rPr>
          <w:u w:val="single"/>
        </w:rPr>
        <w:lastRenderedPageBreak/>
        <w:t>Odpowiedzialność podmiotów zbiorowych za czyny zabronione pod groźbą kary</w:t>
      </w:r>
      <w:bookmarkEnd w:id="0"/>
      <w:r w:rsidRPr="00526EAE">
        <w:rPr>
          <w:u w:val="single"/>
        </w:rPr>
        <w:t xml:space="preserve">. </w:t>
      </w:r>
    </w:p>
    <w:p w14:paraId="66746380" w14:textId="77777777" w:rsidR="00C06E73" w:rsidRDefault="00C06E73" w:rsidP="00C06E73">
      <w:pPr>
        <w:spacing w:line="360" w:lineRule="auto"/>
        <w:ind w:firstLine="284"/>
        <w:jc w:val="both"/>
      </w:pPr>
      <w:r>
        <w:t xml:space="preserve">Pojęcie i przesłanki odpowiedzialności podmiotu zbiorowego, przebieg postępowania, udział i uprawnienia prokuratora. Zwrot korzyści uzyskanych niesłusznie kosztem Skarbu Państwa. </w:t>
      </w:r>
    </w:p>
    <w:p w14:paraId="64E6B599" w14:textId="77777777" w:rsidR="00F061BB" w:rsidRDefault="00F061BB" w:rsidP="00C06E73">
      <w:pPr>
        <w:keepNext/>
        <w:spacing w:line="360" w:lineRule="auto"/>
        <w:jc w:val="both"/>
        <w:outlineLvl w:val="1"/>
      </w:pPr>
    </w:p>
    <w:sectPr w:rsidR="00F061BB" w:rsidSect="00936C0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1CD1" w14:textId="77777777" w:rsidR="006B008D" w:rsidRDefault="006B008D">
      <w:r>
        <w:separator/>
      </w:r>
    </w:p>
  </w:endnote>
  <w:endnote w:type="continuationSeparator" w:id="0">
    <w:p w14:paraId="18FCDB74" w14:textId="77777777" w:rsidR="006B008D" w:rsidRDefault="006B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414331"/>
      <w:docPartObj>
        <w:docPartGallery w:val="Page Numbers (Bottom of Page)"/>
        <w:docPartUnique/>
      </w:docPartObj>
    </w:sdtPr>
    <w:sdtContent>
      <w:p w14:paraId="7C724F9E" w14:textId="77777777" w:rsidR="000E1816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655762" w14:textId="77777777" w:rsidR="000E1816" w:rsidRDefault="000E18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D338" w14:textId="77777777" w:rsidR="006B008D" w:rsidRDefault="006B008D">
      <w:r>
        <w:separator/>
      </w:r>
    </w:p>
  </w:footnote>
  <w:footnote w:type="continuationSeparator" w:id="0">
    <w:p w14:paraId="40C30928" w14:textId="77777777" w:rsidR="006B008D" w:rsidRDefault="006B0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41A"/>
    <w:multiLevelType w:val="hybridMultilevel"/>
    <w:tmpl w:val="A29CA232"/>
    <w:lvl w:ilvl="0" w:tplc="03506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129BE"/>
    <w:multiLevelType w:val="hybridMultilevel"/>
    <w:tmpl w:val="1554ADAA"/>
    <w:lvl w:ilvl="0" w:tplc="63AC1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15B28"/>
    <w:multiLevelType w:val="hybridMultilevel"/>
    <w:tmpl w:val="C93826E2"/>
    <w:lvl w:ilvl="0" w:tplc="63AC11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E010CA2"/>
    <w:multiLevelType w:val="hybridMultilevel"/>
    <w:tmpl w:val="BA20DEC6"/>
    <w:lvl w:ilvl="0" w:tplc="63AC1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9563E"/>
    <w:multiLevelType w:val="hybridMultilevel"/>
    <w:tmpl w:val="B97C3D82"/>
    <w:lvl w:ilvl="0" w:tplc="63AC1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237997">
    <w:abstractNumId w:val="0"/>
  </w:num>
  <w:num w:numId="2" w16cid:durableId="1794323888">
    <w:abstractNumId w:val="3"/>
  </w:num>
  <w:num w:numId="3" w16cid:durableId="852111975">
    <w:abstractNumId w:val="1"/>
  </w:num>
  <w:num w:numId="4" w16cid:durableId="205487855">
    <w:abstractNumId w:val="4"/>
  </w:num>
  <w:num w:numId="5" w16cid:durableId="2142840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07"/>
    <w:rsid w:val="000E1816"/>
    <w:rsid w:val="001557DA"/>
    <w:rsid w:val="00291B55"/>
    <w:rsid w:val="00417604"/>
    <w:rsid w:val="00443078"/>
    <w:rsid w:val="0046007A"/>
    <w:rsid w:val="005B65E0"/>
    <w:rsid w:val="006B008D"/>
    <w:rsid w:val="00771AA2"/>
    <w:rsid w:val="00842D81"/>
    <w:rsid w:val="00936C07"/>
    <w:rsid w:val="00BF609C"/>
    <w:rsid w:val="00C06E73"/>
    <w:rsid w:val="00C6706D"/>
    <w:rsid w:val="00D71D65"/>
    <w:rsid w:val="00EA32B9"/>
    <w:rsid w:val="00EA38DA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51D2"/>
  <w15:chartTrackingRefBased/>
  <w15:docId w15:val="{61E8CF64-8613-4BC6-BAA9-9A755919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C0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6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6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6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6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6C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6C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6C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6C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6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6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6C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6C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6C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6C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6C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6C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6C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6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6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6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6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6C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6C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6C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6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6C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6C0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36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6C0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6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6C07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Durbacz</dc:creator>
  <cp:keywords/>
  <dc:description/>
  <cp:lastModifiedBy>Joanna Matuszek</cp:lastModifiedBy>
  <cp:revision>2</cp:revision>
  <dcterms:created xsi:type="dcterms:W3CDTF">2026-02-25T09:14:00Z</dcterms:created>
  <dcterms:modified xsi:type="dcterms:W3CDTF">2026-02-25T09:14:00Z</dcterms:modified>
</cp:coreProperties>
</file>