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E0" w:rsidRPr="00016540" w:rsidRDefault="00D841E0" w:rsidP="002B3A3A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41E0" w:rsidRPr="00016540" w:rsidRDefault="00A46BA1" w:rsidP="00D841E0">
      <w:pPr>
        <w:suppressAutoHyphens/>
        <w:spacing w:before="120" w:after="120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="00D841E0" w:rsidRPr="00016540">
        <w:rPr>
          <w:rFonts w:ascii="Times New Roman" w:eastAsia="Times New Roman" w:hAnsi="Times New Roman" w:cs="Times New Roman"/>
          <w:sz w:val="24"/>
          <w:szCs w:val="24"/>
          <w:lang w:eastAsia="zh-CN"/>
        </w:rPr>
        <w:t>Kraków, dnia</w:t>
      </w:r>
      <w:r w:rsidR="00D841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marca</w:t>
      </w:r>
      <w:r w:rsidR="00D841E0" w:rsidRPr="000165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841E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841E0" w:rsidRPr="000165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:rsidR="00D841E0" w:rsidRPr="00016540" w:rsidRDefault="00D841E0" w:rsidP="00D841E0">
      <w:pPr>
        <w:suppressAutoHyphens/>
        <w:spacing w:before="120" w:after="120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6BA1" w:rsidRDefault="00A46BA1" w:rsidP="00A46BA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62A66">
        <w:rPr>
          <w:rFonts w:ascii="Times New Roman" w:eastAsiaTheme="minorEastAsia" w:hAnsi="Times New Roman" w:cs="Times New Roman"/>
          <w:sz w:val="24"/>
          <w:szCs w:val="24"/>
          <w:lang w:eastAsia="pl-PL"/>
        </w:rPr>
        <w:t>OAP-II.420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.7.1.</w:t>
      </w:r>
      <w:r w:rsidRPr="00562A66">
        <w:rPr>
          <w:rFonts w:ascii="Times New Roman" w:eastAsiaTheme="minorEastAsia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</w:p>
    <w:p w:rsidR="00D841E0" w:rsidRPr="00016540" w:rsidRDefault="00D841E0" w:rsidP="00D841E0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41E0" w:rsidRPr="00016540" w:rsidRDefault="00D841E0" w:rsidP="00D841E0">
      <w:pPr>
        <w:suppressAutoHyphens/>
        <w:spacing w:before="120" w:after="120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65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Patroni Koordynatorzy</w:t>
      </w:r>
    </w:p>
    <w:p w:rsidR="00D841E0" w:rsidRPr="00016540" w:rsidRDefault="00D841E0" w:rsidP="00D841E0">
      <w:pPr>
        <w:suppressAutoHyphens/>
        <w:spacing w:before="120" w:after="120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65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oraz Patroni Praktyk</w:t>
      </w:r>
    </w:p>
    <w:p w:rsidR="00D841E0" w:rsidRPr="00016540" w:rsidRDefault="00D841E0" w:rsidP="00D841E0">
      <w:pPr>
        <w:suppressAutoHyphens/>
        <w:spacing w:before="120" w:after="120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65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aplikantów aplikacji prokuratorskiej</w:t>
      </w:r>
    </w:p>
    <w:p w:rsidR="00D841E0" w:rsidRPr="00016540" w:rsidRDefault="00D841E0" w:rsidP="00D841E0">
      <w:pPr>
        <w:suppressAutoHyphens/>
        <w:spacing w:before="120" w:after="120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1E0" w:rsidRPr="00016540" w:rsidRDefault="00D841E0" w:rsidP="00D841E0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65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Dotyczy praktyk aplikantów aplikacji prokuratorskiej 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Pr="000165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rocznika po </w:t>
      </w:r>
      <w:r w:rsidR="00AA04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25</w:t>
      </w:r>
      <w:r w:rsidR="00A46B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165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zjeździe</w:t>
      </w:r>
    </w:p>
    <w:p w:rsidR="00D841E0" w:rsidRPr="00016540" w:rsidRDefault="00D841E0" w:rsidP="00D841E0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1E0" w:rsidRPr="00016540" w:rsidRDefault="00D841E0" w:rsidP="00A46BA1">
      <w:pPr>
        <w:suppressAutoHyphens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40">
        <w:rPr>
          <w:rFonts w:ascii="Times New Roman" w:eastAsia="Times New Roman" w:hAnsi="Times New Roman" w:cs="Times New Roman"/>
          <w:sz w:val="24"/>
          <w:szCs w:val="24"/>
          <w:lang w:eastAsia="zh-CN"/>
        </w:rPr>
        <w:t>W oparciu o § 2, 9 i 10 zarządzenia Dyrektora Krajowej Szkoły Sądownictwa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Prokuratury w Krakowie Nr 132/2019 z dnia 15 marca 2019 roku w sprawie szczegółowych zasad odbywania praktyki przez aplikantów aplikacji sędziowskiej, prokuratorskiej, uprzejmie przedstawiam szczegółowy zakres tematyczny, który powinien być przedmiotem praktyk aplikantów aplikacji prokuratorskiej,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prokuraturach </w:t>
      </w:r>
      <w:r w:rsidR="007369B5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okręgowych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(wydziały do spraw przestępczości gospodarczej)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736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>23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>3 czerwca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tygodnie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>w prokuraturach rejonowych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(działy śledcze)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>17 czerwca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(2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41E0" w:rsidRDefault="00D841E0" w:rsidP="00D841E0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6976D4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bookmarkStart w:id="0" w:name="_GoBack"/>
      <w:bookmarkEnd w:id="0"/>
      <w:r w:rsidR="00736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zjazdu aplikacji prokuratorskiej są następujące zagadnienia:</w:t>
      </w:r>
    </w:p>
    <w:p w:rsidR="00473424" w:rsidRPr="00473424" w:rsidRDefault="00473424" w:rsidP="00473424">
      <w:pPr>
        <w:pStyle w:val="Akapitzlist"/>
        <w:keepNext/>
        <w:numPr>
          <w:ilvl w:val="0"/>
          <w:numId w:val="3"/>
        </w:numPr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47342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Przedsiębiorca – jego firma i przedstawicielstwo</w:t>
      </w:r>
    </w:p>
    <w:p w:rsidR="00473424" w:rsidRDefault="00473424" w:rsidP="0047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przedsiębiorcy.</w:t>
      </w:r>
      <w:r>
        <w:rPr>
          <w:rFonts w:ascii="Arial" w:eastAsia="Arial" w:hAnsi="Arial" w:cs="Arial"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Przedstawicielstwo przedsiębiorcy w obrocie gospodarczym. Prokura, jej cechy i rodzaje.</w:t>
      </w:r>
    </w:p>
    <w:p w:rsidR="005339E7" w:rsidRPr="005339E7" w:rsidRDefault="005339E7" w:rsidP="005339E7">
      <w:pPr>
        <w:pStyle w:val="Akapitzlist"/>
        <w:keepNext/>
        <w:numPr>
          <w:ilvl w:val="0"/>
          <w:numId w:val="3"/>
        </w:numPr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5339E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 xml:space="preserve">Spółka cywilna </w:t>
      </w:r>
    </w:p>
    <w:p w:rsidR="005339E7" w:rsidRPr="005339E7" w:rsidRDefault="005339E7" w:rsidP="005339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odpowiedzialności za zobowiązania spółki cywilnej. Odpowiedzialność karna wspólnika za czyny na szkodę spółki. </w:t>
      </w:r>
    </w:p>
    <w:p w:rsidR="00473424" w:rsidRPr="00473424" w:rsidRDefault="00473424" w:rsidP="00473424">
      <w:pPr>
        <w:pStyle w:val="Akapitzlist"/>
        <w:keepNext/>
        <w:numPr>
          <w:ilvl w:val="0"/>
          <w:numId w:val="3"/>
        </w:numPr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47342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lastRenderedPageBreak/>
        <w:t xml:space="preserve">Prawo handlowe </w:t>
      </w:r>
    </w:p>
    <w:p w:rsidR="00473424" w:rsidRDefault="00473424" w:rsidP="0047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osobowe: spółka jawna, spółka komandytowa, spółka komandytowo-akcyjna, spółka partnerska – sposób tworzenia, podstawowe cechy, prowadzenie spraw i reprezentacja, zasady odpowiedzialności wspólników i spółek za zobowiązania spółki. </w:t>
      </w:r>
    </w:p>
    <w:p w:rsidR="00473424" w:rsidRDefault="00473424" w:rsidP="0047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kapitałowe: spółka z ograniczoną odpowiedzialnością i spółka akcyjna, spółka europejska. Sposoby tworzenia i pokrycia kapitału. Władze spółki i zasady reprezentacji. Zasady odpowiedzialności  za zobowiązania spółki.  </w:t>
      </w:r>
    </w:p>
    <w:p w:rsidR="00473424" w:rsidRDefault="00473424" w:rsidP="0047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odpowiedzialności cywilnej i karnej w spółkach prawa handlowego. </w:t>
      </w:r>
    </w:p>
    <w:p w:rsidR="00473424" w:rsidRPr="00473424" w:rsidRDefault="00473424" w:rsidP="00473424">
      <w:pPr>
        <w:pStyle w:val="Akapitzlist"/>
        <w:keepNext/>
        <w:numPr>
          <w:ilvl w:val="0"/>
          <w:numId w:val="3"/>
        </w:numPr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47342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 xml:space="preserve">Postępowanie upadłościowe i restrukturyzacyjne </w:t>
      </w:r>
    </w:p>
    <w:p w:rsidR="007369B5" w:rsidRDefault="00473424" w:rsidP="0047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postępowania upadłościowego, przesłanki ogłoszenia upadłości, udział prokuratora w postępowaniu upadłościowym, przepisy karne. Prawo restrukturyzacyjne. Rodzaje postępowań restrukturyzacyjnych i ich cele. Odpowiedzialność karna z tytułu niezłożenia wniosku o ogłoszenie upadłości spółki handlowej (art. 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k.s.h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</w:p>
    <w:p w:rsidR="00473424" w:rsidRPr="00016540" w:rsidRDefault="00473424" w:rsidP="0047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1E0" w:rsidRPr="00F56CAD" w:rsidRDefault="00D841E0" w:rsidP="00A46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40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Celem praktyki </w:t>
      </w:r>
      <w:r w:rsidRPr="00016540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w prokuraturach </w:t>
      </w:r>
      <w:r w:rsidR="00473424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okręgowych </w:t>
      </w:r>
      <w:r w:rsidR="00473424" w:rsidRPr="004734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(wydziały do spraw przestępczości gospodarczej)</w:t>
      </w:r>
      <w:r w:rsidR="0047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424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i </w:t>
      </w:r>
      <w:r w:rsidRPr="00016540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>rejonowych (</w:t>
      </w:r>
      <w:r w:rsidR="00473424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>działy śledcze</w:t>
      </w:r>
      <w:r w:rsidRPr="00016540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>)</w:t>
      </w:r>
      <w:r w:rsidRPr="00016540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jest </w:t>
      </w:r>
      <w:r w:rsidR="00F56CAD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udział w czynnościach postępowania przygotowawczego podejmowanych w sprawach objętych tematyką zjazdu </w:t>
      </w:r>
      <w:r w:rsidR="00AE270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(</w:t>
      </w:r>
      <w:r w:rsidR="00F56CAD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przesłuchania świadków i podejrzanych, gromadzenie materiału dowodowego)</w:t>
      </w:r>
      <w:r w:rsidR="00486577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, </w:t>
      </w:r>
      <w:r w:rsidR="00486577" w:rsidRPr="00016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zapoznanie się z czynnościami i metodyką pracy prokuratora </w:t>
      </w:r>
      <w:r w:rsidR="004865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sprawach o przestępstwa</w:t>
      </w:r>
      <w:r w:rsidR="00486577" w:rsidRPr="00F56CAD">
        <w:rPr>
          <w:rFonts w:ascii="Times New Roman" w:hAnsi="Times New Roman" w:cs="Times New Roman"/>
          <w:sz w:val="24"/>
          <w:szCs w:val="24"/>
        </w:rPr>
        <w:t xml:space="preserve"> </w:t>
      </w:r>
      <w:r w:rsidR="00486577">
        <w:rPr>
          <w:rFonts w:ascii="Times New Roman" w:hAnsi="Times New Roman" w:cs="Times New Roman"/>
          <w:sz w:val="24"/>
          <w:szCs w:val="24"/>
        </w:rPr>
        <w:t>stypizowane w r</w:t>
      </w:r>
      <w:r w:rsidR="00486577" w:rsidRPr="00F56CAD">
        <w:rPr>
          <w:rFonts w:ascii="Times New Roman" w:hAnsi="Times New Roman" w:cs="Times New Roman"/>
          <w:sz w:val="24"/>
          <w:szCs w:val="24"/>
        </w:rPr>
        <w:t>ozdzia</w:t>
      </w:r>
      <w:r w:rsidR="00486577">
        <w:rPr>
          <w:rFonts w:ascii="Times New Roman" w:hAnsi="Times New Roman" w:cs="Times New Roman"/>
          <w:sz w:val="24"/>
          <w:szCs w:val="24"/>
        </w:rPr>
        <w:t>le</w:t>
      </w:r>
      <w:r w:rsidR="00486577" w:rsidRPr="00F56CAD">
        <w:rPr>
          <w:rFonts w:ascii="Times New Roman" w:hAnsi="Times New Roman" w:cs="Times New Roman"/>
          <w:sz w:val="24"/>
          <w:szCs w:val="24"/>
        </w:rPr>
        <w:t xml:space="preserve"> XXXVI </w:t>
      </w:r>
      <w:r w:rsidR="00486577">
        <w:rPr>
          <w:rFonts w:ascii="Times New Roman" w:hAnsi="Times New Roman" w:cs="Times New Roman"/>
          <w:sz w:val="24"/>
          <w:szCs w:val="24"/>
        </w:rPr>
        <w:t>kodeksu karnego „</w:t>
      </w:r>
      <w:r w:rsidR="00486577" w:rsidRPr="00F56CAD">
        <w:rPr>
          <w:rFonts w:ascii="Times New Roman" w:hAnsi="Times New Roman" w:cs="Times New Roman"/>
          <w:sz w:val="24"/>
          <w:szCs w:val="24"/>
        </w:rPr>
        <w:t>Przestępstwa przeciwko obrotowi gospodarczemu i interesom majątkowym w obrocie cywilnoprawnym</w:t>
      </w:r>
      <w:r w:rsidR="00486577">
        <w:rPr>
          <w:rFonts w:ascii="Times New Roman" w:hAnsi="Times New Roman" w:cs="Times New Roman"/>
          <w:sz w:val="24"/>
          <w:szCs w:val="24"/>
        </w:rPr>
        <w:t>”, w ustawie z dnia 28 lutego 2003 r. – Prawo upadłościowe i naprawcze oraz w kodeksie spółek handlowych a także</w:t>
      </w:r>
      <w:r w:rsidR="00486577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 w:rsidR="00F56CAD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sporządzanie wniosku prokuratora o wszczęcie postępowania w sprawie o pozbawienie prawa prowadzenia działalności gospodarczej</w:t>
      </w:r>
      <w:r w:rsidR="00486577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.</w:t>
      </w:r>
    </w:p>
    <w:p w:rsidR="00D841E0" w:rsidRDefault="00D841E0" w:rsidP="00D80FCB">
      <w:pPr>
        <w:widowControl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:rsidR="00DE3D75" w:rsidRDefault="00DE3D75" w:rsidP="002E6E5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gromadzenia przez prokuratora materiału dowodowego na potrzeby spraw </w:t>
      </w:r>
      <w:r w:rsidR="002E6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objętych tematyką zjazdu </w:t>
      </w:r>
      <w:r w:rsidRPr="00DE3D7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rozpoznawanych w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cywilnym, </w:t>
      </w:r>
      <w:r w:rsidR="002E6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postępowania upadłościowego;</w:t>
      </w:r>
    </w:p>
    <w:p w:rsidR="002E6E5C" w:rsidRPr="002E6E5C" w:rsidRDefault="002E6E5C" w:rsidP="002E6E5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5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wniosków wszczynających postępowania cywilne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objętych tematyką zjazdu,</w:t>
      </w:r>
      <w:r w:rsidRPr="002E6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postępowania upadłościowego;</w:t>
      </w:r>
    </w:p>
    <w:p w:rsidR="002E6E5C" w:rsidRDefault="002E6E5C" w:rsidP="002E6E5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D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zasady gromadzenia przez prokuratora materiału dowodowego na potrzeby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postępowań przygotowawczych w sprawach objętych tematyką zjazdu;</w:t>
      </w:r>
    </w:p>
    <w:p w:rsidR="002E6E5C" w:rsidRDefault="002E6E5C" w:rsidP="002E6E5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postanowień o 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wszczęciu </w:t>
      </w:r>
      <w:r w:rsidR="00AE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odmowy wszczęcia albo umorzenia 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śledztwa lub dochodzenia;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przedstawieniu zarzutów w postępowani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przygotowawcz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objętych tematyką zjazdu;</w:t>
      </w:r>
    </w:p>
    <w:p w:rsidR="006843CF" w:rsidRPr="002E6E5C" w:rsidRDefault="006843CF" w:rsidP="002E6E5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aktów oskarżeń w sprawach objętych tematyką zjazdu.</w:t>
      </w:r>
    </w:p>
    <w:p w:rsidR="00D841E0" w:rsidRDefault="00D841E0" w:rsidP="00AE270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528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prakty</w:t>
      </w:r>
      <w:r w:rsidR="00486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="009B4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E21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położyć </w:t>
      </w:r>
      <w:r w:rsidR="009B4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 </w:t>
      </w:r>
      <w:r w:rsidRPr="00E21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zagadnienia dotyczące 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wszczynania i prowadzenia (lub nadzorowania) przez prokuratora postępowań przygotowawczych </w:t>
      </w:r>
      <w:r w:rsidR="00004FF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</w:t>
      </w:r>
      <w:r w:rsidR="00004FF0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tematyką zjazdu</w:t>
      </w:r>
      <w:r w:rsidR="009B4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8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prokuratora w </w:t>
      </w:r>
      <w:r w:rsidR="00FB2B5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2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upadłościow</w:t>
      </w:r>
      <w:r w:rsidR="007259A9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D57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57AE6" w:rsidRPr="00D57AE6">
        <w:rPr>
          <w:rFonts w:ascii="Times New Roman" w:hAnsi="Times New Roman" w:cs="Times New Roman"/>
          <w:sz w:val="24"/>
          <w:szCs w:val="24"/>
        </w:rPr>
        <w:t>postępowani</w:t>
      </w:r>
      <w:r w:rsidR="007259A9">
        <w:rPr>
          <w:rFonts w:ascii="Times New Roman" w:hAnsi="Times New Roman" w:cs="Times New Roman"/>
          <w:sz w:val="24"/>
          <w:szCs w:val="24"/>
        </w:rPr>
        <w:t>u</w:t>
      </w:r>
      <w:r w:rsidR="00D57AE6" w:rsidRPr="00D57AE6">
        <w:rPr>
          <w:rFonts w:ascii="Times New Roman" w:hAnsi="Times New Roman" w:cs="Times New Roman"/>
          <w:sz w:val="24"/>
          <w:szCs w:val="24"/>
        </w:rPr>
        <w:t xml:space="preserve"> w sprawach orzekania zakazu prowadzenia działalności gospodarczej</w:t>
      </w:r>
      <w:r w:rsidR="00D80F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21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Koniecznym jest zapoznanie aplikantów </w:t>
      </w:r>
      <w:r w:rsidR="00AE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E21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80FCB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 zagadnieniami jak:</w:t>
      </w:r>
    </w:p>
    <w:p w:rsidR="00D80FCB" w:rsidRPr="00D80FCB" w:rsidRDefault="00D80FCB" w:rsidP="009B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80FCB">
        <w:rPr>
          <w:rFonts w:ascii="Times New Roman" w:hAnsi="Times New Roman" w:cs="Times New Roman"/>
          <w:sz w:val="24"/>
          <w:szCs w:val="24"/>
        </w:rPr>
        <w:t>status prokuratora jako uczestnika postępowania cywilnego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FCB">
        <w:rPr>
          <w:rFonts w:ascii="Times New Roman" w:hAnsi="Times New Roman" w:cs="Times New Roman"/>
          <w:sz w:val="24"/>
          <w:szCs w:val="24"/>
        </w:rPr>
        <w:t>(art. 7 oraz 55 - 60 k.p.c.)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0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CB" w:rsidRPr="00D80FCB" w:rsidRDefault="00D80FCB" w:rsidP="009B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CB">
        <w:rPr>
          <w:rFonts w:ascii="Times New Roman" w:hAnsi="Times New Roman" w:cs="Times New Roman"/>
          <w:sz w:val="24"/>
          <w:szCs w:val="24"/>
        </w:rPr>
        <w:t>- uprawnienia prokuratora w postępowaniu upadłościowym;</w:t>
      </w:r>
    </w:p>
    <w:p w:rsidR="00D80FCB" w:rsidRDefault="00D80FCB" w:rsidP="00AE2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FCB">
        <w:rPr>
          <w:rFonts w:ascii="Times New Roman" w:hAnsi="Times New Roman" w:cs="Times New Roman"/>
          <w:sz w:val="24"/>
          <w:szCs w:val="24"/>
        </w:rPr>
        <w:t>- legitymacja czynna prokuratora w postępowaniu o orzeczenie zakazu prowadzenia działalności gospodarczej (art. 373 - 377 ustawy z dnia 28 lutego 2003 r. - Prawo upadłościowe i naprawcze)</w:t>
      </w:r>
      <w:r w:rsidR="00D57AE6">
        <w:rPr>
          <w:rFonts w:ascii="Times New Roman" w:hAnsi="Times New Roman" w:cs="Times New Roman"/>
          <w:sz w:val="24"/>
          <w:szCs w:val="24"/>
        </w:rPr>
        <w:t>;</w:t>
      </w:r>
    </w:p>
    <w:p w:rsidR="00D57AE6" w:rsidRDefault="00D57AE6" w:rsidP="00AE2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E6">
        <w:rPr>
          <w:rFonts w:ascii="Times New Roman" w:hAnsi="Times New Roman" w:cs="Times New Roman"/>
          <w:sz w:val="24"/>
          <w:szCs w:val="24"/>
        </w:rPr>
        <w:t>- postępowanie w sprawach orzekania zakazu prowadzenia działalności gospodarczej a postępowanie upadłościowe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AE6" w:rsidRPr="00D57AE6" w:rsidRDefault="00D57AE6" w:rsidP="00D80FC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E6">
        <w:rPr>
          <w:rFonts w:ascii="Times New Roman" w:hAnsi="Times New Roman" w:cs="Times New Roman"/>
          <w:sz w:val="24"/>
          <w:szCs w:val="24"/>
        </w:rPr>
        <w:t>- charakter sankcji w postaci pozbawienia prawa prowadzenia działalności gospodarczej,</w:t>
      </w:r>
    </w:p>
    <w:p w:rsidR="00DE3D75" w:rsidRPr="002E6E5C" w:rsidRDefault="00D80FCB" w:rsidP="009B438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E5C">
        <w:rPr>
          <w:rFonts w:ascii="Times New Roman" w:hAnsi="Times New Roman" w:cs="Times New Roman"/>
          <w:sz w:val="24"/>
          <w:szCs w:val="24"/>
        </w:rPr>
        <w:t>Omawiając zagadnienia związane</w:t>
      </w:r>
      <w:r w:rsidR="00486577" w:rsidRPr="002E6E5C">
        <w:rPr>
          <w:rFonts w:ascii="Times New Roman" w:hAnsi="Times New Roman" w:cs="Times New Roman"/>
          <w:sz w:val="24"/>
          <w:szCs w:val="24"/>
        </w:rPr>
        <w:t xml:space="preserve"> ze statusem prokuratora jako uczestnika</w:t>
      </w:r>
      <w:r w:rsidRPr="002E6E5C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486577" w:rsidRPr="002E6E5C">
        <w:rPr>
          <w:rFonts w:ascii="Times New Roman" w:hAnsi="Times New Roman" w:cs="Times New Roman"/>
          <w:sz w:val="24"/>
          <w:szCs w:val="24"/>
        </w:rPr>
        <w:t>a</w:t>
      </w:r>
      <w:r w:rsidRPr="002E6E5C">
        <w:rPr>
          <w:rFonts w:ascii="Times New Roman" w:hAnsi="Times New Roman" w:cs="Times New Roman"/>
          <w:sz w:val="24"/>
          <w:szCs w:val="24"/>
        </w:rPr>
        <w:t xml:space="preserve"> cywiln</w:t>
      </w:r>
      <w:r w:rsidR="00486577" w:rsidRPr="002E6E5C">
        <w:rPr>
          <w:rFonts w:ascii="Times New Roman" w:hAnsi="Times New Roman" w:cs="Times New Roman"/>
          <w:sz w:val="24"/>
          <w:szCs w:val="24"/>
        </w:rPr>
        <w:t>ego</w:t>
      </w:r>
      <w:r w:rsidRPr="002E6E5C">
        <w:rPr>
          <w:rFonts w:ascii="Times New Roman" w:hAnsi="Times New Roman" w:cs="Times New Roman"/>
          <w:sz w:val="24"/>
          <w:szCs w:val="24"/>
        </w:rPr>
        <w:t xml:space="preserve"> należy </w:t>
      </w:r>
      <w:r w:rsidR="00486577" w:rsidRPr="002E6E5C">
        <w:rPr>
          <w:rFonts w:ascii="Times New Roman" w:hAnsi="Times New Roman" w:cs="Times New Roman"/>
          <w:sz w:val="24"/>
          <w:szCs w:val="24"/>
        </w:rPr>
        <w:t xml:space="preserve">przybliżyć aplikantom zasady oraz wyjątki dotyczące żądania wszczęcia przez prokuratora </w:t>
      </w:r>
      <w:r w:rsidRPr="002E6E5C">
        <w:rPr>
          <w:rFonts w:ascii="Times New Roman" w:hAnsi="Times New Roman" w:cs="Times New Roman"/>
          <w:sz w:val="24"/>
          <w:szCs w:val="24"/>
        </w:rPr>
        <w:t>postępowani</w:t>
      </w:r>
      <w:r w:rsidR="00486577" w:rsidRPr="002E6E5C">
        <w:rPr>
          <w:rFonts w:ascii="Times New Roman" w:hAnsi="Times New Roman" w:cs="Times New Roman"/>
          <w:sz w:val="24"/>
          <w:szCs w:val="24"/>
        </w:rPr>
        <w:t>a</w:t>
      </w:r>
      <w:r w:rsidRPr="002E6E5C">
        <w:rPr>
          <w:rFonts w:ascii="Times New Roman" w:hAnsi="Times New Roman" w:cs="Times New Roman"/>
          <w:sz w:val="24"/>
          <w:szCs w:val="24"/>
        </w:rPr>
        <w:t xml:space="preserve"> cywilne</w:t>
      </w:r>
      <w:r w:rsidR="00486577" w:rsidRPr="002E6E5C">
        <w:rPr>
          <w:rFonts w:ascii="Times New Roman" w:hAnsi="Times New Roman" w:cs="Times New Roman"/>
          <w:sz w:val="24"/>
          <w:szCs w:val="24"/>
        </w:rPr>
        <w:t>go</w:t>
      </w:r>
      <w:r w:rsidRPr="002E6E5C">
        <w:rPr>
          <w:rFonts w:ascii="Times New Roman" w:hAnsi="Times New Roman" w:cs="Times New Roman"/>
          <w:sz w:val="24"/>
          <w:szCs w:val="24"/>
        </w:rPr>
        <w:t xml:space="preserve"> </w:t>
      </w:r>
      <w:r w:rsidR="00486577" w:rsidRPr="002E6E5C">
        <w:rPr>
          <w:rFonts w:ascii="Times New Roman" w:hAnsi="Times New Roman" w:cs="Times New Roman"/>
          <w:sz w:val="24"/>
          <w:szCs w:val="24"/>
        </w:rPr>
        <w:t>oraz</w:t>
      </w:r>
      <w:r w:rsidRPr="002E6E5C">
        <w:rPr>
          <w:rFonts w:ascii="Times New Roman" w:hAnsi="Times New Roman" w:cs="Times New Roman"/>
          <w:sz w:val="24"/>
          <w:szCs w:val="24"/>
        </w:rPr>
        <w:t xml:space="preserve"> przyłącz</w:t>
      </w:r>
      <w:r w:rsidR="00486577" w:rsidRPr="002E6E5C">
        <w:rPr>
          <w:rFonts w:ascii="Times New Roman" w:hAnsi="Times New Roman" w:cs="Times New Roman"/>
          <w:sz w:val="24"/>
          <w:szCs w:val="24"/>
        </w:rPr>
        <w:t xml:space="preserve">ania </w:t>
      </w:r>
      <w:r w:rsidRPr="002E6E5C">
        <w:rPr>
          <w:rFonts w:ascii="Times New Roman" w:hAnsi="Times New Roman" w:cs="Times New Roman"/>
          <w:sz w:val="24"/>
          <w:szCs w:val="24"/>
        </w:rPr>
        <w:t xml:space="preserve">się do </w:t>
      </w:r>
      <w:r w:rsidR="00486577" w:rsidRPr="002E6E5C">
        <w:rPr>
          <w:rFonts w:ascii="Times New Roman" w:hAnsi="Times New Roman" w:cs="Times New Roman"/>
          <w:sz w:val="24"/>
          <w:szCs w:val="24"/>
        </w:rPr>
        <w:t xml:space="preserve">już </w:t>
      </w:r>
      <w:r w:rsidRPr="002E6E5C">
        <w:rPr>
          <w:rFonts w:ascii="Times New Roman" w:hAnsi="Times New Roman" w:cs="Times New Roman"/>
          <w:sz w:val="24"/>
          <w:szCs w:val="24"/>
        </w:rPr>
        <w:t>toczącego</w:t>
      </w:r>
      <w:r w:rsidR="00486577" w:rsidRPr="002E6E5C">
        <w:rPr>
          <w:rFonts w:ascii="Times New Roman" w:hAnsi="Times New Roman" w:cs="Times New Roman"/>
          <w:sz w:val="24"/>
          <w:szCs w:val="24"/>
        </w:rPr>
        <w:t xml:space="preserve"> się</w:t>
      </w:r>
      <w:r w:rsidRPr="002E6E5C">
        <w:rPr>
          <w:rFonts w:ascii="Times New Roman" w:hAnsi="Times New Roman" w:cs="Times New Roman"/>
          <w:sz w:val="24"/>
          <w:szCs w:val="24"/>
        </w:rPr>
        <w:t xml:space="preserve"> postępowania (art. 7 k.p.c.)</w:t>
      </w:r>
      <w:r w:rsidR="00FB2B58" w:rsidRPr="002E6E5C">
        <w:rPr>
          <w:rFonts w:ascii="Times New Roman" w:hAnsi="Times New Roman" w:cs="Times New Roman"/>
          <w:sz w:val="24"/>
          <w:szCs w:val="24"/>
        </w:rPr>
        <w:t xml:space="preserve"> ze szczególnym uwzględnieniem postępowania upadłościowego zaliczanego do szeroko rozumianego postępowania cywilnego</w:t>
      </w:r>
      <w:r w:rsidR="00073518" w:rsidRPr="002E6E5C">
        <w:rPr>
          <w:rFonts w:ascii="Times New Roman" w:hAnsi="Times New Roman" w:cs="Times New Roman"/>
          <w:sz w:val="24"/>
          <w:szCs w:val="24"/>
        </w:rPr>
        <w:t>.</w:t>
      </w:r>
      <w:r w:rsidR="00D57AE6" w:rsidRPr="002E6E5C">
        <w:rPr>
          <w:rFonts w:ascii="Times New Roman" w:hAnsi="Times New Roman" w:cs="Times New Roman"/>
          <w:sz w:val="24"/>
          <w:szCs w:val="24"/>
        </w:rPr>
        <w:t xml:space="preserve"> Należy także poruszyć kwestię samodzielnego charakteru postępowania w sprawach orzekania zakazu prowadzenia działalności gospodarczej na tle postępowania upadłościowego (zob. </w:t>
      </w:r>
      <w:proofErr w:type="spellStart"/>
      <w:r w:rsidR="00D57AE6" w:rsidRPr="002E6E5C">
        <w:rPr>
          <w:rFonts w:ascii="Times New Roman" w:hAnsi="Times New Roman" w:cs="Times New Roman"/>
          <w:sz w:val="24"/>
          <w:szCs w:val="24"/>
        </w:rPr>
        <w:t>uchw</w:t>
      </w:r>
      <w:proofErr w:type="spellEnd"/>
      <w:r w:rsidR="00AE2705">
        <w:rPr>
          <w:rFonts w:ascii="Times New Roman" w:hAnsi="Times New Roman" w:cs="Times New Roman"/>
          <w:sz w:val="24"/>
          <w:szCs w:val="24"/>
        </w:rPr>
        <w:t>.</w:t>
      </w:r>
      <w:r w:rsidR="00D57AE6" w:rsidRPr="002E6E5C">
        <w:rPr>
          <w:rFonts w:ascii="Times New Roman" w:hAnsi="Times New Roman" w:cs="Times New Roman"/>
          <w:sz w:val="24"/>
          <w:szCs w:val="24"/>
        </w:rPr>
        <w:t xml:space="preserve"> SN z 14 września 2005 r., III CZP 58/05)</w:t>
      </w:r>
      <w:r w:rsidR="00DE3D75" w:rsidRPr="002E6E5C">
        <w:rPr>
          <w:rFonts w:ascii="Times New Roman" w:hAnsi="Times New Roman" w:cs="Times New Roman"/>
          <w:sz w:val="24"/>
          <w:szCs w:val="24"/>
        </w:rPr>
        <w:t xml:space="preserve"> oraz zwrócić uwagę na cele sankcji w postaci pozbawienia prawa prowadzenia działalności gospodarczej z punktu widzenia bezpieczeństwa obrotu. </w:t>
      </w:r>
    </w:p>
    <w:p w:rsidR="00D841E0" w:rsidRPr="00016540" w:rsidRDefault="00D841E0" w:rsidP="009B4389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Zwracać należy uwagę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tylko na merytoryczną i formalną poprawność </w:t>
      </w:r>
      <w:r w:rsidR="009B4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decyzji procesowych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 sporządzanych przez aplikantów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rodzaj użytej argumentacji, logikę i poprawność językową.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bowiem nie tylko o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umiejętności właściwej oceny prawnej,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też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obrony własnego stanowiska w sprawie oraz zastosowania prawidłowej argumentacji.</w:t>
      </w:r>
    </w:p>
    <w:p w:rsidR="00D841E0" w:rsidRPr="00016540" w:rsidRDefault="00D841E0" w:rsidP="005339E7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 przedmiotem sprawdzianu wiedzy, który aplikanci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pisać po odbyciu praktyk,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sporządzenie </w:t>
      </w:r>
      <w:r w:rsidR="005339E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wniosku prokuratora o wszczęcie postępowania </w:t>
      </w:r>
      <w:r w:rsidR="00AE270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</w:t>
      </w:r>
      <w:r w:rsidR="005339E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o pozbawienie prawa prowadzenia działalności gospodarczej</w:t>
      </w:r>
      <w:r w:rsidR="0053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</w:t>
      </w:r>
      <w:r w:rsidR="00AE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5339E7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powyższym,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powinni</w:t>
      </w:r>
      <w:r w:rsidR="00533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oni nabyć w pierwszej kolejności</w:t>
      </w:r>
      <w:r w:rsidRPr="000165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41E0" w:rsidRPr="00016540" w:rsidRDefault="00D841E0" w:rsidP="00D841E0">
      <w:pPr>
        <w:suppressAutoHyphens/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41E0" w:rsidRPr="00AE2705" w:rsidRDefault="00D841E0" w:rsidP="00D841E0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27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Kierownik</w:t>
      </w:r>
    </w:p>
    <w:p w:rsidR="00D841E0" w:rsidRPr="00AE2705" w:rsidRDefault="00D841E0" w:rsidP="00D841E0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27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Działu Dydaktycznego OAP</w:t>
      </w:r>
    </w:p>
    <w:p w:rsidR="00D841E0" w:rsidRPr="00AE2705" w:rsidRDefault="00D841E0" w:rsidP="00D841E0">
      <w:pPr>
        <w:suppressAutoHyphens/>
        <w:spacing w:before="120" w:after="120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1E0" w:rsidRPr="00AE2705" w:rsidRDefault="00D841E0" w:rsidP="00D841E0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27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Marta Zin</w:t>
      </w:r>
    </w:p>
    <w:p w:rsidR="00D841E0" w:rsidRPr="00AE2705" w:rsidRDefault="00D841E0" w:rsidP="00D841E0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27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prokurator</w:t>
      </w:r>
    </w:p>
    <w:p w:rsidR="008D4C33" w:rsidRDefault="008D4C33"/>
    <w:p w:rsidR="00473424" w:rsidRDefault="00473424"/>
    <w:sectPr w:rsidR="004734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51" w:rsidRDefault="00C73251">
      <w:pPr>
        <w:spacing w:after="0" w:line="240" w:lineRule="auto"/>
      </w:pPr>
      <w:r>
        <w:separator/>
      </w:r>
    </w:p>
  </w:endnote>
  <w:endnote w:type="continuationSeparator" w:id="0">
    <w:p w:rsidR="00C73251" w:rsidRDefault="00C7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D841E0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6976D4">
      <w:rPr>
        <w:noProof/>
      </w:rPr>
      <w:t>4</w:t>
    </w:r>
    <w:r>
      <w:fldChar w:fldCharType="end"/>
    </w:r>
  </w:p>
  <w:p w:rsidR="00CC7ECC" w:rsidRDefault="00C732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CC7ECC">
      <w:trPr>
        <w:trHeight w:val="23"/>
      </w:trPr>
      <w:tc>
        <w:tcPr>
          <w:tcW w:w="5099" w:type="dxa"/>
          <w:tcBorders>
            <w:top w:val="thinThickSmallGap" w:sz="12" w:space="0" w:color="000000"/>
          </w:tcBorders>
          <w:shd w:val="clear" w:color="auto" w:fill="auto"/>
        </w:tcPr>
        <w:p w:rsidR="00CC7ECC" w:rsidRDefault="00C73251">
          <w:pPr>
            <w:pStyle w:val="Stopka"/>
            <w:snapToGrid w:val="0"/>
          </w:pPr>
        </w:p>
      </w:tc>
    </w:tr>
  </w:tbl>
  <w:p w:rsidR="00CC7ECC" w:rsidRDefault="00D841E0">
    <w:pPr>
      <w:pStyle w:val="Stopka"/>
      <w:rPr>
        <w:sz w:val="18"/>
        <w:szCs w:val="18"/>
      </w:rPr>
    </w:pPr>
    <w:r>
      <w:rPr>
        <w:sz w:val="18"/>
        <w:szCs w:val="18"/>
      </w:rPr>
      <w:tab/>
      <w:t>Krajowa Szkoła Sądownictwa i Prokuratury</w:t>
    </w:r>
  </w:p>
  <w:p w:rsidR="00CC7ECC" w:rsidRDefault="00D841E0">
    <w:pPr>
      <w:pStyle w:val="Stopka"/>
      <w:rPr>
        <w:sz w:val="18"/>
        <w:szCs w:val="18"/>
      </w:rPr>
    </w:pPr>
    <w:r>
      <w:rPr>
        <w:sz w:val="18"/>
        <w:szCs w:val="18"/>
      </w:rPr>
      <w:tab/>
      <w:t>ul. Przy Rondzie 5, 31-547 Kraków</w:t>
    </w:r>
  </w:p>
  <w:p w:rsidR="00CC7ECC" w:rsidRDefault="00C73251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51" w:rsidRDefault="00C73251">
      <w:pPr>
        <w:spacing w:after="0" w:line="240" w:lineRule="auto"/>
      </w:pPr>
      <w:r>
        <w:separator/>
      </w:r>
    </w:p>
  </w:footnote>
  <w:footnote w:type="continuationSeparator" w:id="0">
    <w:p w:rsidR="00C73251" w:rsidRDefault="00C7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D841E0">
    <w:pPr>
      <w:pStyle w:val="Nagwek"/>
      <w:jc w:val="right"/>
    </w:pPr>
    <w:r>
      <w:rPr>
        <w:rFonts w:ascii="Century Gothic" w:hAnsi="Century Gothic" w:cs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D841E0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Century Gothic" w:hAnsi="Century Gothic" w:cs="Century Gothic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28429598" wp14:editId="1D71B925">
          <wp:simplePos x="0" y="0"/>
          <wp:positionH relativeFrom="column">
            <wp:posOffset>621665</wp:posOffset>
          </wp:positionH>
          <wp:positionV relativeFrom="paragraph">
            <wp:posOffset>-172085</wp:posOffset>
          </wp:positionV>
          <wp:extent cx="499110" cy="47498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74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ECC" w:rsidRDefault="00D841E0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Century Gothic"/>
        <w:b/>
        <w:spacing w:val="20"/>
        <w:sz w:val="8"/>
        <w:szCs w:val="8"/>
      </w:rPr>
    </w:pPr>
    <w:r>
      <w:rPr>
        <w:rFonts w:ascii="Century Gothic" w:eastAsia="Century Gothic" w:hAnsi="Century Gothic" w:cs="Century Gothic"/>
        <w:b/>
        <w:spacing w:val="20"/>
        <w:sz w:val="30"/>
        <w:szCs w:val="30"/>
      </w:rPr>
      <w:t xml:space="preserve"> </w:t>
    </w:r>
  </w:p>
  <w:p w:rsidR="00CC7ECC" w:rsidRDefault="00C73251">
    <w:pPr>
      <w:pStyle w:val="Nagwek"/>
      <w:ind w:left="-851" w:right="5526"/>
      <w:jc w:val="center"/>
      <w:rPr>
        <w:rFonts w:ascii="Century Gothic" w:hAnsi="Century Gothic" w:cs="Century Gothic"/>
        <w:b/>
        <w:spacing w:val="20"/>
        <w:sz w:val="8"/>
        <w:szCs w:val="8"/>
      </w:rPr>
    </w:pPr>
  </w:p>
  <w:p w:rsidR="00CC7ECC" w:rsidRDefault="00D841E0">
    <w:pPr>
      <w:pStyle w:val="Nagwek"/>
      <w:ind w:left="-851" w:right="5526"/>
      <w:jc w:val="center"/>
      <w:rPr>
        <w:b/>
      </w:rPr>
    </w:pPr>
    <w:r>
      <w:rPr>
        <w:b/>
      </w:rPr>
      <w:t>KRAJOWA SZKOŁA</w:t>
    </w:r>
  </w:p>
  <w:p w:rsidR="00CC7ECC" w:rsidRDefault="00D841E0">
    <w:pPr>
      <w:pStyle w:val="Nagwek"/>
      <w:ind w:left="-851" w:right="5526"/>
      <w:jc w:val="center"/>
      <w:rPr>
        <w:rFonts w:ascii="Century Gothic" w:hAnsi="Century Gothic" w:cs="Century Gothic"/>
        <w:b/>
        <w:sz w:val="18"/>
        <w:szCs w:val="18"/>
      </w:rPr>
    </w:pPr>
    <w:r>
      <w:rPr>
        <w:b/>
      </w:rPr>
      <w:t>SĄDOWNICTWA I PROKURATURY</w:t>
    </w:r>
  </w:p>
  <w:p w:rsidR="00CC7ECC" w:rsidRDefault="00C73251">
    <w:pPr>
      <w:pStyle w:val="Nagwek"/>
      <w:tabs>
        <w:tab w:val="center" w:pos="1080"/>
        <w:tab w:val="left" w:pos="1440"/>
        <w:tab w:val="left" w:pos="10527"/>
      </w:tabs>
      <w:rPr>
        <w:rFonts w:ascii="Century Gothic" w:hAnsi="Century Gothic" w:cs="Century Gothic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140"/>
    <w:multiLevelType w:val="hybridMultilevel"/>
    <w:tmpl w:val="B6569054"/>
    <w:lvl w:ilvl="0" w:tplc="22046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B3E3B"/>
    <w:multiLevelType w:val="hybridMultilevel"/>
    <w:tmpl w:val="17F69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18D8"/>
    <w:multiLevelType w:val="hybridMultilevel"/>
    <w:tmpl w:val="7B6A2C2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E0"/>
    <w:rsid w:val="00004FF0"/>
    <w:rsid w:val="00073518"/>
    <w:rsid w:val="002B3A3A"/>
    <w:rsid w:val="002E6E5C"/>
    <w:rsid w:val="00473424"/>
    <w:rsid w:val="00486577"/>
    <w:rsid w:val="005339E7"/>
    <w:rsid w:val="006843CF"/>
    <w:rsid w:val="006976D4"/>
    <w:rsid w:val="007259A9"/>
    <w:rsid w:val="007369B5"/>
    <w:rsid w:val="007704B1"/>
    <w:rsid w:val="008D4C33"/>
    <w:rsid w:val="009B4389"/>
    <w:rsid w:val="009F7A5F"/>
    <w:rsid w:val="00A46BA1"/>
    <w:rsid w:val="00AA04CE"/>
    <w:rsid w:val="00AE2705"/>
    <w:rsid w:val="00BD0561"/>
    <w:rsid w:val="00C73251"/>
    <w:rsid w:val="00D57AE6"/>
    <w:rsid w:val="00D80FCB"/>
    <w:rsid w:val="00D841E0"/>
    <w:rsid w:val="00DE3D75"/>
    <w:rsid w:val="00F56CAD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1E0"/>
  </w:style>
  <w:style w:type="paragraph" w:styleId="Stopka">
    <w:name w:val="footer"/>
    <w:basedOn w:val="Normalny"/>
    <w:link w:val="StopkaZnak"/>
    <w:uiPriority w:val="99"/>
    <w:unhideWhenUsed/>
    <w:rsid w:val="00D8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1E0"/>
  </w:style>
  <w:style w:type="paragraph" w:styleId="Akapitzlist">
    <w:name w:val="List Paragraph"/>
    <w:basedOn w:val="Normalny"/>
    <w:uiPriority w:val="34"/>
    <w:qFormat/>
    <w:rsid w:val="00D84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1E0"/>
  </w:style>
  <w:style w:type="paragraph" w:styleId="Stopka">
    <w:name w:val="footer"/>
    <w:basedOn w:val="Normalny"/>
    <w:link w:val="StopkaZnak"/>
    <w:uiPriority w:val="99"/>
    <w:unhideWhenUsed/>
    <w:rsid w:val="00D8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1E0"/>
  </w:style>
  <w:style w:type="paragraph" w:styleId="Akapitzlist">
    <w:name w:val="List Paragraph"/>
    <w:basedOn w:val="Normalny"/>
    <w:uiPriority w:val="34"/>
    <w:qFormat/>
    <w:rsid w:val="00D8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 Łyżwa WYKŁADOWCA KSSiP</dc:creator>
  <cp:lastModifiedBy>Katarzyna Mróz</cp:lastModifiedBy>
  <cp:revision>4</cp:revision>
  <dcterms:created xsi:type="dcterms:W3CDTF">2022-04-12T07:26:00Z</dcterms:created>
  <dcterms:modified xsi:type="dcterms:W3CDTF">2022-04-12T07:27:00Z</dcterms:modified>
</cp:coreProperties>
</file>