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52" w:rsidRPr="007E49B5" w:rsidRDefault="006A0252" w:rsidP="007E49B5">
      <w:pPr>
        <w:spacing w:line="312" w:lineRule="auto"/>
        <w:jc w:val="right"/>
      </w:pPr>
      <w:r w:rsidRPr="007E49B5">
        <w:t xml:space="preserve">Kraków, </w:t>
      </w:r>
      <w:r w:rsidR="00B12093">
        <w:t xml:space="preserve">29 lipca </w:t>
      </w:r>
      <w:r w:rsidR="00BE3825" w:rsidRPr="007E49B5">
        <w:t>202</w:t>
      </w:r>
      <w:r w:rsidR="00BA112F" w:rsidRPr="007E49B5">
        <w:t>2</w:t>
      </w:r>
      <w:r w:rsidRPr="007E49B5">
        <w:t xml:space="preserve"> r.</w:t>
      </w:r>
    </w:p>
    <w:p w:rsidR="006A0252" w:rsidRPr="007E49B5" w:rsidRDefault="00EF0125" w:rsidP="007E49B5">
      <w:pPr>
        <w:spacing w:line="312" w:lineRule="auto"/>
        <w:rPr>
          <w:b/>
        </w:rPr>
      </w:pPr>
      <w:r w:rsidRPr="007E49B5">
        <w:rPr>
          <w:b/>
        </w:rPr>
        <w:t>OAS.</w:t>
      </w:r>
      <w:r w:rsidR="006A0252" w:rsidRPr="007E49B5">
        <w:rPr>
          <w:b/>
        </w:rPr>
        <w:t>II.420.</w:t>
      </w:r>
      <w:r w:rsidR="009203D3" w:rsidRPr="007E49B5">
        <w:rPr>
          <w:b/>
        </w:rPr>
        <w:t>31</w:t>
      </w:r>
      <w:r w:rsidR="00BE3825" w:rsidRPr="007E49B5">
        <w:rPr>
          <w:b/>
        </w:rPr>
        <w:t>.202</w:t>
      </w:r>
      <w:r w:rsidR="00BA112F" w:rsidRPr="007E49B5">
        <w:rPr>
          <w:b/>
        </w:rPr>
        <w:t>2</w:t>
      </w:r>
    </w:p>
    <w:p w:rsidR="00261798" w:rsidRPr="007E49B5" w:rsidRDefault="00261798" w:rsidP="007E49B5">
      <w:pPr>
        <w:spacing w:line="312" w:lineRule="auto"/>
        <w:rPr>
          <w:b/>
        </w:rPr>
      </w:pPr>
    </w:p>
    <w:p w:rsidR="006A0252" w:rsidRPr="007E49B5" w:rsidRDefault="006A0252" w:rsidP="007E49B5">
      <w:pPr>
        <w:spacing w:line="312" w:lineRule="auto"/>
        <w:jc w:val="both"/>
        <w:rPr>
          <w:i/>
          <w:iCs/>
        </w:rPr>
      </w:pPr>
      <w:r w:rsidRPr="007E49B5">
        <w:rPr>
          <w:i/>
          <w:iCs/>
        </w:rPr>
        <w:t xml:space="preserve">Dot. praktyk aplikantów </w:t>
      </w:r>
      <w:r w:rsidR="00BA112F" w:rsidRPr="007E49B5">
        <w:rPr>
          <w:i/>
          <w:iCs/>
        </w:rPr>
        <w:t>I</w:t>
      </w:r>
      <w:r w:rsidR="00EF0125" w:rsidRPr="007E49B5">
        <w:rPr>
          <w:i/>
          <w:iCs/>
        </w:rPr>
        <w:t>I</w:t>
      </w:r>
      <w:r w:rsidRPr="007E49B5">
        <w:rPr>
          <w:i/>
          <w:iCs/>
        </w:rPr>
        <w:t xml:space="preserve"> rocznika aplikacji </w:t>
      </w:r>
      <w:r w:rsidR="00BE3825" w:rsidRPr="007E49B5">
        <w:rPr>
          <w:i/>
          <w:iCs/>
        </w:rPr>
        <w:t xml:space="preserve">uzupełniającej </w:t>
      </w:r>
      <w:r w:rsidRPr="007E49B5">
        <w:rPr>
          <w:i/>
          <w:iCs/>
        </w:rPr>
        <w:t xml:space="preserve">sędziowskiej po </w:t>
      </w:r>
      <w:r w:rsidR="007B64FB" w:rsidRPr="007E49B5">
        <w:rPr>
          <w:i/>
          <w:iCs/>
        </w:rPr>
        <w:t>2</w:t>
      </w:r>
      <w:r w:rsidR="003629EE" w:rsidRPr="007E49B5">
        <w:rPr>
          <w:i/>
          <w:iCs/>
        </w:rPr>
        <w:t>5</w:t>
      </w:r>
      <w:r w:rsidRPr="007E49B5">
        <w:rPr>
          <w:i/>
          <w:iCs/>
        </w:rPr>
        <w:t xml:space="preserve"> zjeździe</w:t>
      </w:r>
    </w:p>
    <w:p w:rsidR="006A0252" w:rsidRPr="007E49B5" w:rsidRDefault="006A0252" w:rsidP="007E49B5">
      <w:pPr>
        <w:spacing w:line="312" w:lineRule="auto"/>
        <w:rPr>
          <w:b/>
          <w:bCs/>
        </w:rPr>
      </w:pPr>
    </w:p>
    <w:p w:rsidR="006A0252" w:rsidRPr="007E49B5" w:rsidRDefault="006A0252" w:rsidP="007E49B5">
      <w:pPr>
        <w:spacing w:line="312" w:lineRule="auto"/>
        <w:ind w:left="4956"/>
        <w:rPr>
          <w:b/>
        </w:rPr>
      </w:pPr>
      <w:r w:rsidRPr="007E49B5">
        <w:rPr>
          <w:b/>
        </w:rPr>
        <w:t>Do</w:t>
      </w:r>
    </w:p>
    <w:p w:rsidR="006A0252" w:rsidRPr="007E49B5" w:rsidRDefault="000502C8" w:rsidP="007E49B5">
      <w:pPr>
        <w:spacing w:line="312" w:lineRule="auto"/>
        <w:ind w:left="4956"/>
        <w:rPr>
          <w:b/>
        </w:rPr>
      </w:pPr>
      <w:r w:rsidRPr="007E49B5">
        <w:rPr>
          <w:b/>
        </w:rPr>
        <w:t>P</w:t>
      </w:r>
      <w:r w:rsidR="006A0252" w:rsidRPr="007E49B5">
        <w:rPr>
          <w:b/>
        </w:rPr>
        <w:t>atronów praktyk</w:t>
      </w:r>
    </w:p>
    <w:p w:rsidR="006A0252" w:rsidRPr="007E49B5" w:rsidRDefault="000502C8" w:rsidP="007E49B5">
      <w:pPr>
        <w:spacing w:line="312" w:lineRule="auto"/>
        <w:ind w:left="4956"/>
        <w:rPr>
          <w:b/>
        </w:rPr>
      </w:pPr>
      <w:r w:rsidRPr="007E49B5">
        <w:rPr>
          <w:b/>
        </w:rPr>
        <w:t>oraz P</w:t>
      </w:r>
      <w:r w:rsidR="006A0252" w:rsidRPr="007E49B5">
        <w:rPr>
          <w:b/>
        </w:rPr>
        <w:t>atronów koordynatorów</w:t>
      </w:r>
    </w:p>
    <w:p w:rsidR="006A0252" w:rsidRPr="007E49B5" w:rsidRDefault="006A0252" w:rsidP="007E49B5">
      <w:pPr>
        <w:spacing w:line="312" w:lineRule="auto"/>
        <w:ind w:left="4956"/>
        <w:rPr>
          <w:b/>
        </w:rPr>
      </w:pPr>
      <w:r w:rsidRPr="007E49B5">
        <w:rPr>
          <w:b/>
        </w:rPr>
        <w:t xml:space="preserve">aplikantów aplikacji </w:t>
      </w:r>
      <w:r w:rsidR="002F2CB0" w:rsidRPr="007E49B5">
        <w:rPr>
          <w:b/>
        </w:rPr>
        <w:t xml:space="preserve">uzupełniającej </w:t>
      </w:r>
      <w:r w:rsidRPr="007E49B5">
        <w:rPr>
          <w:b/>
        </w:rPr>
        <w:t xml:space="preserve">sędziowskiej </w:t>
      </w:r>
    </w:p>
    <w:p w:rsidR="006A0252" w:rsidRPr="007E49B5" w:rsidRDefault="006A0252" w:rsidP="007E49B5">
      <w:pPr>
        <w:spacing w:line="312" w:lineRule="auto"/>
        <w:ind w:firstLine="708"/>
        <w:jc w:val="both"/>
      </w:pPr>
    </w:p>
    <w:p w:rsidR="001105BD" w:rsidRPr="007E49B5" w:rsidRDefault="00261798" w:rsidP="007E49B5">
      <w:pPr>
        <w:spacing w:after="120" w:line="312" w:lineRule="auto"/>
        <w:ind w:firstLine="709"/>
        <w:jc w:val="both"/>
        <w:rPr>
          <w:b/>
        </w:rPr>
      </w:pPr>
      <w:r w:rsidRPr="007E49B5">
        <w:t xml:space="preserve">Uprzejmie przedstawiam szczegółowy zakres tematyczny, który </w:t>
      </w:r>
      <w:r w:rsidR="001105BD" w:rsidRPr="007E49B5">
        <w:t xml:space="preserve">winien </w:t>
      </w:r>
      <w:r w:rsidR="00363CE8" w:rsidRPr="007E49B5">
        <w:t>być przedmiotem</w:t>
      </w:r>
      <w:r w:rsidR="001105BD" w:rsidRPr="007E49B5">
        <w:t xml:space="preserve"> praktyk aplikantów</w:t>
      </w:r>
      <w:r w:rsidR="00BD3830" w:rsidRPr="007E49B5">
        <w:t xml:space="preserve"> II rocznika</w:t>
      </w:r>
      <w:r w:rsidR="001105BD" w:rsidRPr="007E49B5">
        <w:t xml:space="preserve"> aplikacji sędziowskiej odbywanych </w:t>
      </w:r>
      <w:r w:rsidR="002F2CB0" w:rsidRPr="007E49B5">
        <w:t>w terminie</w:t>
      </w:r>
      <w:r w:rsidR="007B64FB" w:rsidRPr="007E49B5">
        <w:t xml:space="preserve">: </w:t>
      </w:r>
      <w:r w:rsidR="008C0D78">
        <w:rPr>
          <w:b/>
        </w:rPr>
        <w:t>od 19 do</w:t>
      </w:r>
      <w:r w:rsidR="009203D3" w:rsidRPr="007E49B5">
        <w:rPr>
          <w:b/>
        </w:rPr>
        <w:t xml:space="preserve"> 23.09.2022 </w:t>
      </w:r>
      <w:r w:rsidR="00162086" w:rsidRPr="007E49B5">
        <w:rPr>
          <w:b/>
        </w:rPr>
        <w:t xml:space="preserve">r. </w:t>
      </w:r>
      <w:r w:rsidR="009203D3" w:rsidRPr="007E49B5">
        <w:rPr>
          <w:b/>
        </w:rPr>
        <w:t>– 1 dzień</w:t>
      </w:r>
      <w:r w:rsidR="008C0D78">
        <w:rPr>
          <w:b/>
        </w:rPr>
        <w:t>, od 26 do</w:t>
      </w:r>
      <w:r w:rsidR="009203D3" w:rsidRPr="007E49B5">
        <w:rPr>
          <w:b/>
        </w:rPr>
        <w:t xml:space="preserve"> 30.09.2022</w:t>
      </w:r>
      <w:r w:rsidR="00162086" w:rsidRPr="007E49B5">
        <w:rPr>
          <w:b/>
        </w:rPr>
        <w:t xml:space="preserve"> r.</w:t>
      </w:r>
      <w:r w:rsidR="009203D3" w:rsidRPr="007E49B5">
        <w:rPr>
          <w:b/>
        </w:rPr>
        <w:t xml:space="preserve"> – 1 dzień</w:t>
      </w:r>
      <w:r w:rsidR="009203D3" w:rsidRPr="007E49B5">
        <w:t xml:space="preserve"> </w:t>
      </w:r>
      <w:r w:rsidR="008C0D78">
        <w:t xml:space="preserve">- </w:t>
      </w:r>
      <w:r w:rsidR="001105BD" w:rsidRPr="007E49B5">
        <w:t xml:space="preserve">po </w:t>
      </w:r>
      <w:r w:rsidR="007B64FB" w:rsidRPr="007E49B5">
        <w:t>2</w:t>
      </w:r>
      <w:r w:rsidR="009203D3" w:rsidRPr="007E49B5">
        <w:t>5</w:t>
      </w:r>
      <w:r w:rsidR="00BD3830" w:rsidRPr="007E49B5">
        <w:t xml:space="preserve"> </w:t>
      </w:r>
      <w:r w:rsidR="001105BD" w:rsidRPr="007E49B5">
        <w:t>zjeździe</w:t>
      </w:r>
      <w:r w:rsidRPr="007E49B5">
        <w:t xml:space="preserve"> tego rocznika aplikacji</w:t>
      </w:r>
      <w:r w:rsidR="001105BD" w:rsidRPr="007E49B5">
        <w:t>, który odb</w:t>
      </w:r>
      <w:r w:rsidR="00BE3825" w:rsidRPr="007E49B5">
        <w:t xml:space="preserve">ędzie </w:t>
      </w:r>
      <w:r w:rsidR="001105BD" w:rsidRPr="007E49B5">
        <w:t xml:space="preserve">się </w:t>
      </w:r>
      <w:r w:rsidR="009203D3" w:rsidRPr="007E49B5">
        <w:rPr>
          <w:b/>
        </w:rPr>
        <w:t>17 i 18 września</w:t>
      </w:r>
      <w:r w:rsidR="001105BD" w:rsidRPr="007E49B5">
        <w:rPr>
          <w:b/>
        </w:rPr>
        <w:t xml:space="preserve"> 202</w:t>
      </w:r>
      <w:r w:rsidR="00BD3830" w:rsidRPr="007E49B5">
        <w:rPr>
          <w:b/>
        </w:rPr>
        <w:t>2</w:t>
      </w:r>
      <w:r w:rsidR="001105BD" w:rsidRPr="007E49B5">
        <w:rPr>
          <w:b/>
        </w:rPr>
        <w:t xml:space="preserve"> r. </w:t>
      </w:r>
    </w:p>
    <w:p w:rsidR="006A0252" w:rsidRPr="007E49B5" w:rsidRDefault="006A0252" w:rsidP="007E49B5">
      <w:pPr>
        <w:spacing w:after="120" w:line="312" w:lineRule="auto"/>
        <w:ind w:firstLine="709"/>
        <w:jc w:val="both"/>
      </w:pPr>
      <w:r w:rsidRPr="007E49B5">
        <w:t>Założeniem praktyki, co do zasady, jest zaznajomienie aplikantów z czynnościami i</w:t>
      </w:r>
      <w:r w:rsidR="009E60E1" w:rsidRPr="007E49B5">
        <w:t> </w:t>
      </w:r>
      <w:r w:rsidRPr="007E49B5">
        <w:t>metodyką pracy sędziego oraz doskonalenie umiejętności wykorzystania wiedzy teoretycznej i znajomości orzecznictwa</w:t>
      </w:r>
      <w:r w:rsidR="00261798" w:rsidRPr="007E49B5">
        <w:t xml:space="preserve"> przy sporządzaniu projektów orzeczeń, zarządzeń i pism procesowych, a także poprzez uczestniczenie w czynnościach podejmowanych przez patrona praktyki</w:t>
      </w:r>
      <w:r w:rsidRPr="007E49B5">
        <w:t xml:space="preserve">. Praktyka winna utrwalać wiedzę zdobytą przez aplikanta podczas poprzedzających ją zajęć seminaryjnych w ramach zjazdu. </w:t>
      </w:r>
    </w:p>
    <w:p w:rsidR="00FA6490" w:rsidRPr="007E49B5" w:rsidRDefault="00261798" w:rsidP="007E49B5">
      <w:pPr>
        <w:spacing w:line="312" w:lineRule="auto"/>
        <w:ind w:firstLine="709"/>
        <w:jc w:val="both"/>
      </w:pPr>
      <w:r w:rsidRPr="007E49B5">
        <w:t xml:space="preserve">Zgodnie z programem aplikacji uzupełniającej sędziowskiej, </w:t>
      </w:r>
      <w:r w:rsidR="001F37C8" w:rsidRPr="007E49B5">
        <w:rPr>
          <w:b/>
        </w:rPr>
        <w:t xml:space="preserve">przedmiotem 25 zjazdu jest postępowanie procesowe i nieprocesowe w sprawach osobowych i spadkowych. </w:t>
      </w:r>
      <w:r w:rsidRPr="007E49B5">
        <w:t>Po zakończeniu zjazdu aplikanci mają odbyć praktykę</w:t>
      </w:r>
      <w:r w:rsidR="006A0252" w:rsidRPr="007E49B5">
        <w:t xml:space="preserve"> </w:t>
      </w:r>
      <w:r w:rsidR="006A0252" w:rsidRPr="007E49B5">
        <w:rPr>
          <w:b/>
          <w:u w:val="single"/>
        </w:rPr>
        <w:t xml:space="preserve">w sądzie </w:t>
      </w:r>
      <w:r w:rsidR="007B64FB" w:rsidRPr="007E49B5">
        <w:rPr>
          <w:b/>
          <w:u w:val="single"/>
        </w:rPr>
        <w:t>rejonowym</w:t>
      </w:r>
      <w:r w:rsidR="006A0252" w:rsidRPr="007E49B5">
        <w:rPr>
          <w:b/>
          <w:u w:val="single"/>
        </w:rPr>
        <w:t xml:space="preserve"> - wydziale </w:t>
      </w:r>
      <w:r w:rsidR="00F457EB" w:rsidRPr="007E49B5">
        <w:rPr>
          <w:b/>
          <w:u w:val="single"/>
        </w:rPr>
        <w:t>cywilnym nieprocesowym;</w:t>
      </w:r>
      <w:r w:rsidR="00F457EB" w:rsidRPr="007E49B5">
        <w:t xml:space="preserve"> w sądach, w których nie ma wyodrębnionego wydziału nieprocesowego, praktyka odbywa się w sądzie rejonowym –</w:t>
      </w:r>
      <w:r w:rsidR="00162086" w:rsidRPr="007E49B5">
        <w:t xml:space="preserve"> w</w:t>
      </w:r>
      <w:r w:rsidR="00F457EB" w:rsidRPr="007E49B5">
        <w:t xml:space="preserve"> wydziale cywilnym ze zwróceniem uwagi sędziemu patronowi, że przedmiotem praktyki powinny być przede wszystkim sprawy nieprocesowe.</w:t>
      </w:r>
    </w:p>
    <w:p w:rsidR="007E49B5" w:rsidRPr="007E49B5" w:rsidRDefault="007E49B5" w:rsidP="007E49B5">
      <w:pPr>
        <w:spacing w:line="312" w:lineRule="auto"/>
        <w:ind w:firstLine="709"/>
        <w:jc w:val="both"/>
        <w:rPr>
          <w:b/>
        </w:rPr>
      </w:pPr>
    </w:p>
    <w:p w:rsidR="00162086" w:rsidRPr="007E49B5" w:rsidRDefault="00162086" w:rsidP="007E49B5">
      <w:pPr>
        <w:spacing w:after="120" w:line="312" w:lineRule="auto"/>
        <w:ind w:firstLine="709"/>
        <w:jc w:val="both"/>
        <w:rPr>
          <w:b/>
          <w:bCs/>
        </w:rPr>
      </w:pPr>
      <w:r w:rsidRPr="007E49B5">
        <w:t xml:space="preserve">Z uwagi na zakres tematyczny 25 zjazdu, patron praktyki oraz patron koordynator powinni przy pracy z aplikantami poświęcić szczególną uwagę podstawowym </w:t>
      </w:r>
      <w:r w:rsidRPr="007E49B5">
        <w:rPr>
          <w:b/>
          <w:bCs/>
        </w:rPr>
        <w:t xml:space="preserve">zagadnieniom prawa materialnego, </w:t>
      </w:r>
      <w:r w:rsidRPr="007E49B5">
        <w:rPr>
          <w:bCs/>
        </w:rPr>
        <w:t>takim jak</w:t>
      </w:r>
      <w:r w:rsidRPr="007E49B5">
        <w:rPr>
          <w:b/>
          <w:bCs/>
        </w:rPr>
        <w:t xml:space="preserve">: </w:t>
      </w:r>
    </w:p>
    <w:p w:rsidR="00F457EB" w:rsidRPr="007E49B5" w:rsidRDefault="00F457EB" w:rsidP="007E49B5">
      <w:pPr>
        <w:pStyle w:val="Akapitzlist"/>
        <w:numPr>
          <w:ilvl w:val="0"/>
          <w:numId w:val="39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 xml:space="preserve">uznanie za zmarłego, w tym w szczególności na skutek działań wojennych (art. XXVIII i następne ustawy – Przepisy wprowadzające kodeks cywilny);  </w:t>
      </w:r>
    </w:p>
    <w:p w:rsidR="00162086" w:rsidRPr="007E49B5" w:rsidRDefault="00F457EB" w:rsidP="007E49B5">
      <w:pPr>
        <w:pStyle w:val="Akapitzlist"/>
        <w:numPr>
          <w:ilvl w:val="0"/>
          <w:numId w:val="39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 xml:space="preserve">stwierdzenie zgonu; </w:t>
      </w:r>
    </w:p>
    <w:p w:rsidR="00F457EB" w:rsidRPr="007E49B5" w:rsidRDefault="00F457EB" w:rsidP="007E49B5">
      <w:pPr>
        <w:pStyle w:val="Akapitzlist"/>
        <w:numPr>
          <w:ilvl w:val="0"/>
          <w:numId w:val="39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>pojęcie spadku;</w:t>
      </w:r>
    </w:p>
    <w:p w:rsidR="00F457EB" w:rsidRPr="007E49B5" w:rsidRDefault="00F457EB" w:rsidP="007E49B5">
      <w:pPr>
        <w:pStyle w:val="Akapitzlist"/>
        <w:numPr>
          <w:ilvl w:val="0"/>
          <w:numId w:val="39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lastRenderedPageBreak/>
        <w:t>dziedziczenie ustawowe;</w:t>
      </w:r>
    </w:p>
    <w:p w:rsidR="00F457EB" w:rsidRPr="007E49B5" w:rsidRDefault="00F457EB" w:rsidP="007E49B5">
      <w:pPr>
        <w:pStyle w:val="Akapitzlist"/>
        <w:numPr>
          <w:ilvl w:val="0"/>
          <w:numId w:val="39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>dziedziczenie testamentowe, w tym w szczególności:</w:t>
      </w:r>
    </w:p>
    <w:p w:rsidR="00F457EB" w:rsidRPr="007E49B5" w:rsidRDefault="00F457EB" w:rsidP="007E49B5">
      <w:pPr>
        <w:pStyle w:val="Akapitzlist"/>
        <w:numPr>
          <w:ilvl w:val="0"/>
          <w:numId w:val="41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>testamenty zwykłe,</w:t>
      </w:r>
    </w:p>
    <w:p w:rsidR="00F457EB" w:rsidRPr="007E49B5" w:rsidRDefault="00F457EB" w:rsidP="007E49B5">
      <w:pPr>
        <w:pStyle w:val="Akapitzlist"/>
        <w:numPr>
          <w:ilvl w:val="0"/>
          <w:numId w:val="41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>testamenty szczególne, w tym w szczególności testament ustny (okoliczności pozwalające na skorzystanie z tej formy testamentu, świadkowie testamentu ustnego, sposoby stwierdzenia treści testamentu ustnego),</w:t>
      </w:r>
    </w:p>
    <w:p w:rsidR="00F457EB" w:rsidRPr="007E49B5" w:rsidRDefault="00F457EB" w:rsidP="007E49B5">
      <w:pPr>
        <w:pStyle w:val="Akapitzlist"/>
        <w:numPr>
          <w:ilvl w:val="0"/>
          <w:numId w:val="41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>przesłanki nieważności testamentu z powodu wady oświadczenia woli (art. 945 k.c.),</w:t>
      </w:r>
    </w:p>
    <w:p w:rsidR="00F457EB" w:rsidRPr="007E49B5" w:rsidRDefault="00F457EB" w:rsidP="007E49B5">
      <w:pPr>
        <w:pStyle w:val="Akapitzlist"/>
        <w:numPr>
          <w:ilvl w:val="0"/>
          <w:numId w:val="41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>wykładnia testamentu (art. 948 k.c.);</w:t>
      </w:r>
    </w:p>
    <w:p w:rsidR="00162086" w:rsidRPr="008C0D78" w:rsidRDefault="00F457EB" w:rsidP="008C0D78">
      <w:pPr>
        <w:pStyle w:val="Akapitzlist"/>
        <w:numPr>
          <w:ilvl w:val="0"/>
          <w:numId w:val="39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>zapis i polecenie oraz zapis windykacyjny;</w:t>
      </w:r>
      <w:r w:rsidR="008C0D78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8C0D78">
        <w:rPr>
          <w:rFonts w:ascii="Times New Roman" w:eastAsia="Andale Sans UI" w:hAnsi="Times New Roman"/>
          <w:kern w:val="3"/>
          <w:sz w:val="24"/>
          <w:szCs w:val="24"/>
        </w:rPr>
        <w:t xml:space="preserve">zachowek; </w:t>
      </w:r>
    </w:p>
    <w:p w:rsidR="00162086" w:rsidRPr="008C0D78" w:rsidRDefault="00F457EB" w:rsidP="008C0D78">
      <w:pPr>
        <w:pStyle w:val="Akapitzlist"/>
        <w:numPr>
          <w:ilvl w:val="0"/>
          <w:numId w:val="39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 xml:space="preserve">wydziedziczenie; </w:t>
      </w:r>
      <w:r w:rsidRPr="008C0D78">
        <w:rPr>
          <w:rFonts w:ascii="Times New Roman" w:eastAsia="Andale Sans UI" w:hAnsi="Times New Roman"/>
          <w:kern w:val="3"/>
          <w:sz w:val="24"/>
          <w:szCs w:val="24"/>
        </w:rPr>
        <w:t xml:space="preserve">zrzeczenie się dziedziczenia; </w:t>
      </w:r>
    </w:p>
    <w:p w:rsidR="00F457EB" w:rsidRPr="007E49B5" w:rsidRDefault="00F457EB" w:rsidP="007E49B5">
      <w:pPr>
        <w:pStyle w:val="Akapitzlist"/>
        <w:numPr>
          <w:ilvl w:val="0"/>
          <w:numId w:val="39"/>
        </w:numPr>
        <w:spacing w:after="120" w:line="312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>przyjęcie i odrzucenie spadku;</w:t>
      </w:r>
    </w:p>
    <w:p w:rsidR="00F457EB" w:rsidRPr="007E49B5" w:rsidRDefault="00F457EB" w:rsidP="007E49B5">
      <w:pPr>
        <w:pStyle w:val="Akapitzlist"/>
        <w:numPr>
          <w:ilvl w:val="0"/>
          <w:numId w:val="3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eastAsia="Andale Sans UI" w:hAnsi="Times New Roman"/>
          <w:kern w:val="3"/>
          <w:sz w:val="24"/>
          <w:szCs w:val="24"/>
        </w:rPr>
        <w:t xml:space="preserve">szczególne zasady dziedziczenia gospodarstw rolnych, w tym w świetle orzecznictwa Trybunału Konstytucyjnego. </w:t>
      </w:r>
    </w:p>
    <w:p w:rsidR="00770240" w:rsidRPr="007E49B5" w:rsidRDefault="00770240" w:rsidP="007E49B5">
      <w:pPr>
        <w:pStyle w:val="Akapitzlist"/>
        <w:spacing w:after="0" w:line="312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162086" w:rsidRPr="007E49B5" w:rsidRDefault="00162086" w:rsidP="007E49B5">
      <w:pPr>
        <w:spacing w:before="120" w:after="120" w:line="312" w:lineRule="auto"/>
        <w:ind w:firstLine="709"/>
        <w:jc w:val="both"/>
      </w:pPr>
      <w:r w:rsidRPr="007E49B5">
        <w:t xml:space="preserve">W zakresie </w:t>
      </w:r>
      <w:r w:rsidRPr="007E49B5">
        <w:rPr>
          <w:b/>
        </w:rPr>
        <w:t>prawa procesowego</w:t>
      </w:r>
      <w:r w:rsidRPr="007E49B5">
        <w:t>, szczególną uwagę należy poświęcić następującym zagadnieniom:</w:t>
      </w:r>
    </w:p>
    <w:p w:rsidR="00F457EB" w:rsidRPr="007E49B5" w:rsidRDefault="00F457EB" w:rsidP="007E49B5">
      <w:pPr>
        <w:pStyle w:val="Akapitzlist"/>
        <w:widowControl w:val="0"/>
        <w:numPr>
          <w:ilvl w:val="0"/>
          <w:numId w:val="34"/>
        </w:numPr>
        <w:spacing w:after="12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hAnsi="Times New Roman"/>
          <w:sz w:val="24"/>
          <w:szCs w:val="24"/>
        </w:rPr>
        <w:t>postępowanie w przedmiocie uznania za zmarłego i stwierdzenia zgonu, w tym w szczególności właściwość sądu, ogłoszenie o wszczęciu postępowania, redakcja postanowienia o uznaniu za zmarłego lub stwierdzeniu zgonu;</w:t>
      </w:r>
    </w:p>
    <w:p w:rsidR="00F457EB" w:rsidRPr="007E49B5" w:rsidRDefault="00F457EB" w:rsidP="007E49B5">
      <w:pPr>
        <w:pStyle w:val="Akapitzlist"/>
        <w:widowControl w:val="0"/>
        <w:numPr>
          <w:ilvl w:val="0"/>
          <w:numId w:val="34"/>
        </w:numPr>
        <w:spacing w:after="12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hAnsi="Times New Roman"/>
          <w:sz w:val="24"/>
          <w:szCs w:val="24"/>
        </w:rPr>
        <w:t>postępowanie o stwierdzenie nabycia  spadku, w tym w szczególności:</w:t>
      </w:r>
    </w:p>
    <w:p w:rsidR="00F457EB" w:rsidRPr="007E49B5" w:rsidRDefault="00F457EB" w:rsidP="007E49B5">
      <w:pPr>
        <w:pStyle w:val="Akapitzlist"/>
        <w:widowControl w:val="0"/>
        <w:numPr>
          <w:ilvl w:val="0"/>
          <w:numId w:val="36"/>
        </w:numPr>
        <w:spacing w:after="12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hAnsi="Times New Roman"/>
          <w:sz w:val="24"/>
          <w:szCs w:val="24"/>
        </w:rPr>
        <w:t>legitymacja czynna do złożenia wniosku oraz krąg uczestników postępowania,</w:t>
      </w:r>
    </w:p>
    <w:p w:rsidR="00F457EB" w:rsidRPr="007E49B5" w:rsidRDefault="00F457EB" w:rsidP="007E49B5">
      <w:pPr>
        <w:pStyle w:val="Akapitzlist"/>
        <w:widowControl w:val="0"/>
        <w:numPr>
          <w:ilvl w:val="0"/>
          <w:numId w:val="36"/>
        </w:numPr>
        <w:spacing w:after="12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hAnsi="Times New Roman"/>
          <w:sz w:val="24"/>
          <w:szCs w:val="24"/>
        </w:rPr>
        <w:t>wezwanie spadkobierców przez ogłoszenie,</w:t>
      </w:r>
    </w:p>
    <w:p w:rsidR="00F457EB" w:rsidRPr="007E49B5" w:rsidRDefault="00F457EB" w:rsidP="007E49B5">
      <w:pPr>
        <w:pStyle w:val="Akapitzlist"/>
        <w:widowControl w:val="0"/>
        <w:numPr>
          <w:ilvl w:val="0"/>
          <w:numId w:val="36"/>
        </w:numPr>
        <w:spacing w:after="12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hAnsi="Times New Roman"/>
          <w:sz w:val="24"/>
          <w:szCs w:val="24"/>
        </w:rPr>
        <w:t>przesłuchanie świadków testamentu ustnego;</w:t>
      </w:r>
    </w:p>
    <w:p w:rsidR="00F457EB" w:rsidRPr="007E49B5" w:rsidRDefault="00F457EB" w:rsidP="007E49B5">
      <w:pPr>
        <w:pStyle w:val="Akapitzlist"/>
        <w:widowControl w:val="0"/>
        <w:numPr>
          <w:ilvl w:val="0"/>
          <w:numId w:val="34"/>
        </w:numPr>
        <w:spacing w:after="12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hAnsi="Times New Roman"/>
          <w:sz w:val="24"/>
          <w:szCs w:val="24"/>
        </w:rPr>
        <w:t>otwarcie i ogłoszenie testamentu; stwierdzenie nabycia przedmiotu zapisu windykacyjnego; zabezpieczenie spadku i przedmiotu zapisu windykacyjnego;</w:t>
      </w:r>
    </w:p>
    <w:p w:rsidR="00F457EB" w:rsidRPr="007E49B5" w:rsidRDefault="00F457EB" w:rsidP="007E49B5">
      <w:pPr>
        <w:pStyle w:val="Akapitzlist"/>
        <w:widowControl w:val="0"/>
        <w:numPr>
          <w:ilvl w:val="0"/>
          <w:numId w:val="34"/>
        </w:numPr>
        <w:spacing w:after="12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hAnsi="Times New Roman"/>
          <w:sz w:val="24"/>
          <w:szCs w:val="24"/>
        </w:rPr>
        <w:t>postępowanie w przedmiocie ustanowienia kuratora spadku; postępowanie w sprawie o</w:t>
      </w:r>
      <w:r w:rsidR="006A46F1">
        <w:rPr>
          <w:rFonts w:ascii="Times New Roman" w:hAnsi="Times New Roman"/>
          <w:sz w:val="24"/>
          <w:szCs w:val="24"/>
        </w:rPr>
        <w:t> </w:t>
      </w:r>
      <w:r w:rsidRPr="007E49B5">
        <w:rPr>
          <w:rFonts w:ascii="Times New Roman" w:hAnsi="Times New Roman"/>
          <w:sz w:val="24"/>
          <w:szCs w:val="24"/>
        </w:rPr>
        <w:t>spis inwentarza oraz postępowanie po złożeniu wykazu inwentarza;</w:t>
      </w:r>
    </w:p>
    <w:p w:rsidR="00F457EB" w:rsidRPr="007E49B5" w:rsidRDefault="00F457EB" w:rsidP="007E49B5">
      <w:pPr>
        <w:pStyle w:val="Akapitzlist"/>
        <w:widowControl w:val="0"/>
        <w:numPr>
          <w:ilvl w:val="0"/>
          <w:numId w:val="34"/>
        </w:numPr>
        <w:spacing w:after="12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hAnsi="Times New Roman"/>
          <w:sz w:val="24"/>
          <w:szCs w:val="24"/>
        </w:rPr>
        <w:t>zmiana prawomocnego postanowienia o stwierdzeniu nabycia spadku (art. 679 k.p.c.); uchylenie aktu poświadczenia dziedziczenia;</w:t>
      </w:r>
    </w:p>
    <w:p w:rsidR="00F457EB" w:rsidRPr="007E49B5" w:rsidRDefault="00F457EB" w:rsidP="007E49B5">
      <w:pPr>
        <w:pStyle w:val="Akapitzlist"/>
        <w:widowControl w:val="0"/>
        <w:numPr>
          <w:ilvl w:val="0"/>
          <w:numId w:val="34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49B5">
        <w:rPr>
          <w:rFonts w:ascii="Times New Roman" w:hAnsi="Times New Roman"/>
          <w:sz w:val="24"/>
          <w:szCs w:val="24"/>
        </w:rPr>
        <w:t>europejskie postępowanie spadkowe.</w:t>
      </w:r>
    </w:p>
    <w:p w:rsidR="00F457EB" w:rsidRPr="007E49B5" w:rsidRDefault="00F457EB" w:rsidP="007E49B5">
      <w:pPr>
        <w:spacing w:line="312" w:lineRule="auto"/>
        <w:ind w:firstLine="709"/>
        <w:jc w:val="both"/>
      </w:pPr>
    </w:p>
    <w:p w:rsidR="00F457EB" w:rsidRPr="007E49B5" w:rsidRDefault="00F457EB" w:rsidP="007E49B5">
      <w:pPr>
        <w:spacing w:after="120" w:line="312" w:lineRule="auto"/>
        <w:ind w:firstLine="708"/>
        <w:jc w:val="both"/>
      </w:pPr>
      <w:r w:rsidRPr="007E49B5">
        <w:t xml:space="preserve">Szczególną uwagę należy poświęcić zagadnieniom procesowych i technicznych aspektów </w:t>
      </w:r>
      <w:r w:rsidRPr="007E49B5">
        <w:rPr>
          <w:b/>
        </w:rPr>
        <w:t>postępowania dowodowego w sprawach o stwierdzenie nabycia spadku</w:t>
      </w:r>
      <w:r w:rsidRPr="007E49B5">
        <w:t xml:space="preserve">, z uwzględnieniem sposobu redagowania postanowień dowodowych dopuszczających dowód z opinii biegłych różnych specjalności w celu stwierdzenia ważności testamentu (dowód z opinii biegłego do spraw badań porównawczych pisma ręcznego - w tym również gromadzenie materiału porównawczego do badań, dowód z opinii biegłego lekarza </w:t>
      </w:r>
      <w:r w:rsidRPr="007E49B5">
        <w:lastRenderedPageBreak/>
        <w:t xml:space="preserve">psychiatry, dowód z opinii biegłego psychologa – w tym również gromadzenie dokumentacji medycznej, rozróżnienie kompetencji psychiatry i psychologa). </w:t>
      </w:r>
    </w:p>
    <w:p w:rsidR="00267D30" w:rsidRPr="007E49B5" w:rsidRDefault="00FA6490" w:rsidP="007E49B5">
      <w:pPr>
        <w:spacing w:after="120" w:line="312" w:lineRule="auto"/>
        <w:ind w:firstLine="708"/>
        <w:jc w:val="both"/>
      </w:pPr>
      <w:r w:rsidRPr="007E49B5">
        <w:t xml:space="preserve">Zaleca się, aby w trakcie praktyki aplikanci zapoznawali się z konkretnymi sprawami z wyżej wymienionego zakresu, brali udział w posiedzeniach i rozprawach dotyczących tych spraw </w:t>
      </w:r>
      <w:r w:rsidR="004B6CA1" w:rsidRPr="00FB175B">
        <w:t xml:space="preserve">oraz aby – przy uwzględnieniu </w:t>
      </w:r>
      <w:r w:rsidR="004B6CA1" w:rsidRPr="00FB175B">
        <w:rPr>
          <w:color w:val="000000" w:themeColor="text1"/>
        </w:rPr>
        <w:t xml:space="preserve">trwania </w:t>
      </w:r>
      <w:r w:rsidR="004B6CA1" w:rsidRPr="00FB175B">
        <w:t xml:space="preserve">praktyki – </w:t>
      </w:r>
      <w:r w:rsidRPr="007E49B5">
        <w:t>powierzano im jak największą liczbę czynności, które utrwalą zdobytą przez nich wiedzę i</w:t>
      </w:r>
      <w:r w:rsidR="005F10BE" w:rsidRPr="007E49B5">
        <w:t xml:space="preserve"> </w:t>
      </w:r>
      <w:r w:rsidRPr="007E49B5">
        <w:t>umiejętności praktyczne, a</w:t>
      </w:r>
      <w:r w:rsidR="005F10BE" w:rsidRPr="007E49B5">
        <w:t xml:space="preserve"> </w:t>
      </w:r>
      <w:r w:rsidRPr="007E49B5">
        <w:t>w</w:t>
      </w:r>
      <w:r w:rsidR="005F10BE" w:rsidRPr="007E49B5">
        <w:t xml:space="preserve"> </w:t>
      </w:r>
      <w:r w:rsidRPr="007E49B5">
        <w:t>szczególności, aby brali czynny udział w przygotowywaniu projektów zarządzeń i orzeczeń sądu w tych dziedzinach, wraz z</w:t>
      </w:r>
      <w:r w:rsidR="00F33BD2" w:rsidRPr="007E49B5">
        <w:t> </w:t>
      </w:r>
      <w:r w:rsidRPr="007E49B5">
        <w:t xml:space="preserve">uzasadnieniami. </w:t>
      </w:r>
    </w:p>
    <w:p w:rsidR="00267D30" w:rsidRPr="007E49B5" w:rsidRDefault="00F457EB" w:rsidP="007E49B5">
      <w:pPr>
        <w:spacing w:line="312" w:lineRule="auto"/>
        <w:ind w:firstLine="708"/>
        <w:jc w:val="both"/>
      </w:pPr>
      <w:r w:rsidRPr="007E49B5">
        <w:t xml:space="preserve">Aplikanci na 26 zjeździe będą pisać </w:t>
      </w:r>
      <w:r w:rsidRPr="007E49B5">
        <w:rPr>
          <w:b/>
        </w:rPr>
        <w:t>sprawdzian</w:t>
      </w:r>
      <w:r w:rsidRPr="007E49B5">
        <w:t>, którego przedmiotem będzie sporządzenie projektu orzeczenia rozstrzygającego co do istoty sprawy w postępowaniu z zakresu prawa osobowego lub spadkowego wraz z uzasadnieniem lub omówieniem.</w:t>
      </w:r>
      <w:r w:rsidR="00267D30" w:rsidRPr="007E49B5">
        <w:t xml:space="preserve"> Z tego względu szczególny nacisk należy położyć na to, aby podczas praktyki aplikanci opanowali w</w:t>
      </w:r>
      <w:r w:rsidR="006A46F1">
        <w:t> </w:t>
      </w:r>
      <w:r w:rsidR="00267D30" w:rsidRPr="007E49B5">
        <w:t xml:space="preserve">możliwie najwyższym stopniu </w:t>
      </w:r>
      <w:r w:rsidR="00267D30" w:rsidRPr="007E49B5">
        <w:rPr>
          <w:b/>
        </w:rPr>
        <w:t xml:space="preserve">umiejętność samodzielnego opracowywania projektów orzeczeń kończących postępowanie w takim sprawach oraz uzasadnień tych orzeczeń. </w:t>
      </w:r>
    </w:p>
    <w:p w:rsidR="007A1946" w:rsidRPr="007E49B5" w:rsidRDefault="007A1946" w:rsidP="007E49B5">
      <w:pPr>
        <w:spacing w:line="312" w:lineRule="auto"/>
        <w:jc w:val="both"/>
        <w:rPr>
          <w:b/>
          <w:u w:val="single"/>
        </w:rPr>
      </w:pPr>
    </w:p>
    <w:p w:rsidR="00F457EB" w:rsidRPr="007E49B5" w:rsidRDefault="007A1946" w:rsidP="007E49B5">
      <w:pPr>
        <w:spacing w:after="120" w:line="312" w:lineRule="auto"/>
        <w:jc w:val="center"/>
        <w:rPr>
          <w:b/>
          <w:u w:val="single"/>
        </w:rPr>
      </w:pPr>
      <w:bookmarkStart w:id="0" w:name="_Hlk107475372"/>
      <w:r w:rsidRPr="007E49B5">
        <w:rPr>
          <w:b/>
          <w:u w:val="single"/>
        </w:rPr>
        <w:t>CZYNNOŚCI OBOWIĄZKOWE</w:t>
      </w:r>
    </w:p>
    <w:p w:rsidR="00F457EB" w:rsidRPr="008C0D78" w:rsidRDefault="005A63FF" w:rsidP="007E49B5">
      <w:pPr>
        <w:spacing w:after="120" w:line="312" w:lineRule="auto"/>
        <w:ind w:firstLine="709"/>
        <w:jc w:val="both"/>
      </w:pPr>
      <w:r w:rsidRPr="007E49B5">
        <w:t xml:space="preserve">W trakcie praktyki należy zlecić aplikantowi sporządzenie projektów następujących </w:t>
      </w:r>
      <w:r w:rsidR="00363CE8" w:rsidRPr="007E49B5">
        <w:t>orzeczeń, wraz z uzasadnieniem</w:t>
      </w:r>
      <w:r w:rsidRPr="008C0D78">
        <w:t>:</w:t>
      </w:r>
    </w:p>
    <w:bookmarkEnd w:id="0"/>
    <w:p w:rsidR="00F457EB" w:rsidRPr="007E49B5" w:rsidRDefault="00F457EB" w:rsidP="007E49B5">
      <w:pPr>
        <w:pStyle w:val="Teksttreci60"/>
        <w:numPr>
          <w:ilvl w:val="0"/>
          <w:numId w:val="38"/>
        </w:numPr>
        <w:shd w:val="clear" w:color="auto" w:fill="auto"/>
        <w:tabs>
          <w:tab w:val="left" w:leader="dot" w:pos="3853"/>
        </w:tabs>
        <w:spacing w:after="120" w:line="312" w:lineRule="auto"/>
        <w:ind w:left="714" w:hanging="357"/>
        <w:jc w:val="both"/>
        <w:rPr>
          <w:sz w:val="24"/>
          <w:szCs w:val="24"/>
        </w:rPr>
      </w:pPr>
      <w:r w:rsidRPr="007E49B5">
        <w:rPr>
          <w:sz w:val="24"/>
          <w:szCs w:val="24"/>
        </w:rPr>
        <w:t xml:space="preserve">w co najmniej </w:t>
      </w:r>
      <w:bookmarkStart w:id="1" w:name="_GoBack"/>
      <w:bookmarkEnd w:id="1"/>
      <w:r w:rsidR="00AE14E5" w:rsidRPr="007E49B5">
        <w:rPr>
          <w:sz w:val="24"/>
          <w:szCs w:val="24"/>
        </w:rPr>
        <w:t>1</w:t>
      </w:r>
      <w:r w:rsidRPr="007E49B5">
        <w:rPr>
          <w:sz w:val="24"/>
          <w:szCs w:val="24"/>
        </w:rPr>
        <w:t xml:space="preserve"> spraw</w:t>
      </w:r>
      <w:r w:rsidR="00AE14E5" w:rsidRPr="007E49B5">
        <w:rPr>
          <w:sz w:val="24"/>
          <w:szCs w:val="24"/>
        </w:rPr>
        <w:t>ie</w:t>
      </w:r>
      <w:r w:rsidRPr="007E49B5">
        <w:rPr>
          <w:sz w:val="24"/>
          <w:szCs w:val="24"/>
        </w:rPr>
        <w:t xml:space="preserve"> o stwierdzenie nabycia spadku, w któr</w:t>
      </w:r>
      <w:r w:rsidR="00AE14E5" w:rsidRPr="007E49B5">
        <w:rPr>
          <w:sz w:val="24"/>
          <w:szCs w:val="24"/>
        </w:rPr>
        <w:t>ej</w:t>
      </w:r>
      <w:r w:rsidRPr="007E49B5">
        <w:rPr>
          <w:sz w:val="24"/>
          <w:szCs w:val="24"/>
        </w:rPr>
        <w:t xml:space="preserve"> podniesiono zarzuty co do ważności testamentu lub występuje inny problem wymagający poszerzonej analizy prawnej;</w:t>
      </w:r>
    </w:p>
    <w:p w:rsidR="00F457EB" w:rsidRPr="007E49B5" w:rsidRDefault="00F457EB" w:rsidP="007E49B5">
      <w:pPr>
        <w:pStyle w:val="Teksttreci60"/>
        <w:numPr>
          <w:ilvl w:val="0"/>
          <w:numId w:val="38"/>
        </w:numPr>
        <w:shd w:val="clear" w:color="auto" w:fill="auto"/>
        <w:tabs>
          <w:tab w:val="left" w:leader="dot" w:pos="3853"/>
        </w:tabs>
        <w:spacing w:after="120" w:line="312" w:lineRule="auto"/>
        <w:ind w:left="714" w:hanging="357"/>
        <w:jc w:val="both"/>
        <w:rPr>
          <w:sz w:val="24"/>
          <w:szCs w:val="24"/>
        </w:rPr>
      </w:pPr>
      <w:r w:rsidRPr="007E49B5">
        <w:rPr>
          <w:sz w:val="24"/>
          <w:szCs w:val="24"/>
        </w:rPr>
        <w:t>w co najmniej 1 sprawie o uchylenie się od skutków niezłożenia oświadczenia spadkowego</w:t>
      </w:r>
      <w:r w:rsidR="00AE14E5" w:rsidRPr="007E49B5">
        <w:rPr>
          <w:sz w:val="24"/>
          <w:szCs w:val="24"/>
        </w:rPr>
        <w:t xml:space="preserve"> lub </w:t>
      </w:r>
      <w:r w:rsidRPr="007E49B5">
        <w:rPr>
          <w:sz w:val="24"/>
          <w:szCs w:val="24"/>
        </w:rPr>
        <w:t>o zabezpieczenie spadku</w:t>
      </w:r>
      <w:r w:rsidR="00AE14E5" w:rsidRPr="007E49B5">
        <w:rPr>
          <w:sz w:val="24"/>
          <w:szCs w:val="24"/>
        </w:rPr>
        <w:t xml:space="preserve">, o </w:t>
      </w:r>
      <w:r w:rsidRPr="007E49B5">
        <w:rPr>
          <w:sz w:val="24"/>
          <w:szCs w:val="24"/>
        </w:rPr>
        <w:t>spis inwentarza lub o ustanowienie kuratora spadku.</w:t>
      </w:r>
    </w:p>
    <w:p w:rsidR="005A63FF" w:rsidRPr="007E49B5" w:rsidRDefault="005A63FF" w:rsidP="007E49B5">
      <w:pPr>
        <w:spacing w:after="120" w:line="312" w:lineRule="auto"/>
        <w:ind w:firstLine="708"/>
        <w:jc w:val="both"/>
      </w:pPr>
      <w:r w:rsidRPr="007E49B5"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5A63FF" w:rsidRPr="007E49B5" w:rsidRDefault="005A63FF" w:rsidP="007E49B5">
      <w:pPr>
        <w:spacing w:after="120" w:line="312" w:lineRule="auto"/>
        <w:ind w:firstLine="708"/>
        <w:jc w:val="both"/>
        <w:rPr>
          <w:b/>
        </w:rPr>
      </w:pPr>
      <w:r w:rsidRPr="007E49B5">
        <w:rPr>
          <w:b/>
        </w:rPr>
        <w:t xml:space="preserve">Po wykonaniu przez aplikanta czynności należy szczegółowo omówić z nim wyniki jego pracy. </w:t>
      </w:r>
    </w:p>
    <w:p w:rsidR="005F10BE" w:rsidRPr="007E49B5" w:rsidRDefault="005F10BE" w:rsidP="007E49B5">
      <w:pPr>
        <w:spacing w:after="120" w:line="312" w:lineRule="auto"/>
        <w:ind w:left="3540"/>
        <w:jc w:val="center"/>
      </w:pPr>
    </w:p>
    <w:p w:rsidR="0058215B" w:rsidRPr="007E49B5" w:rsidRDefault="009E4BC1" w:rsidP="007E49B5">
      <w:pPr>
        <w:spacing w:line="312" w:lineRule="auto"/>
        <w:ind w:left="3540"/>
        <w:jc w:val="center"/>
        <w:rPr>
          <w:rFonts w:eastAsia="Calibri"/>
          <w:lang w:eastAsia="en-US"/>
        </w:rPr>
      </w:pPr>
      <w:r w:rsidRPr="007E49B5">
        <w:t xml:space="preserve"> </w:t>
      </w:r>
      <w:r w:rsidR="0058215B" w:rsidRPr="007E49B5">
        <w:rPr>
          <w:rFonts w:eastAsia="Calibri"/>
          <w:lang w:eastAsia="en-US"/>
        </w:rPr>
        <w:t xml:space="preserve">Kierownik Działu Dydaktycznego </w:t>
      </w:r>
    </w:p>
    <w:p w:rsidR="00435692" w:rsidRPr="007E49B5" w:rsidRDefault="00435692" w:rsidP="007E49B5">
      <w:pPr>
        <w:spacing w:line="312" w:lineRule="auto"/>
        <w:ind w:left="3540"/>
        <w:jc w:val="center"/>
        <w:rPr>
          <w:rFonts w:eastAsia="Calibri"/>
          <w:lang w:eastAsia="en-US"/>
        </w:rPr>
      </w:pPr>
      <w:r w:rsidRPr="007E49B5">
        <w:rPr>
          <w:rFonts w:eastAsia="Calibri"/>
          <w:lang w:eastAsia="en-US"/>
        </w:rPr>
        <w:t>Ośrodka Aplikacji Sędziowskiej</w:t>
      </w:r>
    </w:p>
    <w:p w:rsidR="0058215B" w:rsidRPr="007E49B5" w:rsidRDefault="0058215B" w:rsidP="007E49B5">
      <w:pPr>
        <w:spacing w:line="312" w:lineRule="auto"/>
        <w:ind w:left="3538"/>
        <w:jc w:val="center"/>
        <w:rPr>
          <w:rFonts w:eastAsia="Calibri"/>
          <w:lang w:eastAsia="en-US"/>
        </w:rPr>
      </w:pPr>
      <w:r w:rsidRPr="007E49B5">
        <w:rPr>
          <w:rFonts w:eastAsia="Calibri"/>
          <w:lang w:eastAsia="en-US"/>
        </w:rPr>
        <w:t xml:space="preserve">  dr </w:t>
      </w:r>
      <w:r w:rsidR="00BE3825" w:rsidRPr="007E49B5">
        <w:rPr>
          <w:rFonts w:eastAsia="Calibri"/>
          <w:lang w:eastAsia="en-US"/>
        </w:rPr>
        <w:t xml:space="preserve">Mariusz Kucharczyk </w:t>
      </w:r>
    </w:p>
    <w:p w:rsidR="0058215B" w:rsidRPr="007E49B5" w:rsidRDefault="0058215B" w:rsidP="007E49B5">
      <w:pPr>
        <w:spacing w:line="312" w:lineRule="auto"/>
        <w:ind w:left="3540"/>
        <w:jc w:val="center"/>
        <w:rPr>
          <w:rFonts w:eastAsia="Calibri"/>
          <w:lang w:eastAsia="en-US"/>
        </w:rPr>
      </w:pPr>
      <w:r w:rsidRPr="007E49B5">
        <w:rPr>
          <w:rFonts w:eastAsia="Calibri"/>
          <w:lang w:eastAsia="en-US"/>
        </w:rPr>
        <w:t xml:space="preserve">   sędzia</w:t>
      </w:r>
    </w:p>
    <w:sectPr w:rsidR="0058215B" w:rsidRPr="007E49B5" w:rsidSect="0026179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3C" w:rsidRDefault="00ED493C">
      <w:r>
        <w:separator/>
      </w:r>
    </w:p>
  </w:endnote>
  <w:endnote w:type="continuationSeparator" w:id="0">
    <w:p w:rsidR="00ED493C" w:rsidRDefault="00ED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C0D78">
      <w:rPr>
        <w:noProof/>
      </w:rPr>
      <w:t>2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3C" w:rsidRDefault="00ED493C">
      <w:r>
        <w:separator/>
      </w:r>
    </w:p>
  </w:footnote>
  <w:footnote w:type="continuationSeparator" w:id="0">
    <w:p w:rsidR="00ED493C" w:rsidRDefault="00ED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7A" w:rsidRDefault="00BB46D8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981"/>
    <w:multiLevelType w:val="hybridMultilevel"/>
    <w:tmpl w:val="50E6188A"/>
    <w:lvl w:ilvl="0" w:tplc="CB449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57086"/>
    <w:multiLevelType w:val="hybridMultilevel"/>
    <w:tmpl w:val="4A3E9EB2"/>
    <w:lvl w:ilvl="0" w:tplc="8664440C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035A3F52"/>
    <w:multiLevelType w:val="hybridMultilevel"/>
    <w:tmpl w:val="42F65F72"/>
    <w:lvl w:ilvl="0" w:tplc="54A24CB4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EE7C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5762C"/>
    <w:multiLevelType w:val="hybridMultilevel"/>
    <w:tmpl w:val="68E227D4"/>
    <w:lvl w:ilvl="0" w:tplc="548A89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A3172"/>
    <w:multiLevelType w:val="hybridMultilevel"/>
    <w:tmpl w:val="BCA816CE"/>
    <w:lvl w:ilvl="0" w:tplc="59B849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23A32"/>
    <w:multiLevelType w:val="hybridMultilevel"/>
    <w:tmpl w:val="9A067BF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57538"/>
    <w:multiLevelType w:val="hybridMultilevel"/>
    <w:tmpl w:val="47D8B9BC"/>
    <w:lvl w:ilvl="0" w:tplc="04150011">
      <w:start w:val="1"/>
      <w:numFmt w:val="decimal"/>
      <w:lvlText w:val="%1)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0E6A2DA2"/>
    <w:multiLevelType w:val="hybridMultilevel"/>
    <w:tmpl w:val="C1B0132E"/>
    <w:lvl w:ilvl="0" w:tplc="DCA65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CC1D8D"/>
    <w:multiLevelType w:val="hybridMultilevel"/>
    <w:tmpl w:val="C200312A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F3B21"/>
    <w:multiLevelType w:val="hybridMultilevel"/>
    <w:tmpl w:val="8D9C27E8"/>
    <w:lvl w:ilvl="0" w:tplc="7B363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9C779D"/>
    <w:multiLevelType w:val="hybridMultilevel"/>
    <w:tmpl w:val="2BFA794A"/>
    <w:lvl w:ilvl="0" w:tplc="7F52C9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E4CAB"/>
    <w:multiLevelType w:val="hybridMultilevel"/>
    <w:tmpl w:val="801E951C"/>
    <w:lvl w:ilvl="0" w:tplc="DC0C35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AC4CB4"/>
    <w:multiLevelType w:val="hybridMultilevel"/>
    <w:tmpl w:val="FABEFC90"/>
    <w:lvl w:ilvl="0" w:tplc="B4583EF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0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744" w:hanging="360"/>
      </w:pPr>
    </w:lvl>
    <w:lvl w:ilvl="4" w:tplc="04150019">
      <w:start w:val="1"/>
      <w:numFmt w:val="lowerLetter"/>
      <w:lvlText w:val="%5."/>
      <w:lvlJc w:val="left"/>
      <w:pPr>
        <w:ind w:left="3464" w:hanging="360"/>
      </w:pPr>
    </w:lvl>
    <w:lvl w:ilvl="5" w:tplc="0415001B">
      <w:start w:val="1"/>
      <w:numFmt w:val="lowerRoman"/>
      <w:lvlText w:val="%6."/>
      <w:lvlJc w:val="right"/>
      <w:pPr>
        <w:ind w:left="4184" w:hanging="180"/>
      </w:pPr>
    </w:lvl>
    <w:lvl w:ilvl="6" w:tplc="0415000F">
      <w:start w:val="1"/>
      <w:numFmt w:val="decimal"/>
      <w:lvlText w:val="%7."/>
      <w:lvlJc w:val="left"/>
      <w:pPr>
        <w:ind w:left="4904" w:hanging="360"/>
      </w:pPr>
    </w:lvl>
    <w:lvl w:ilvl="7" w:tplc="04150019">
      <w:start w:val="1"/>
      <w:numFmt w:val="lowerLetter"/>
      <w:lvlText w:val="%8."/>
      <w:lvlJc w:val="left"/>
      <w:pPr>
        <w:ind w:left="5624" w:hanging="360"/>
      </w:pPr>
    </w:lvl>
    <w:lvl w:ilvl="8" w:tplc="0415001B">
      <w:start w:val="1"/>
      <w:numFmt w:val="lowerRoman"/>
      <w:lvlText w:val="%9."/>
      <w:lvlJc w:val="right"/>
      <w:pPr>
        <w:ind w:left="6344" w:hanging="180"/>
      </w:pPr>
    </w:lvl>
  </w:abstractNum>
  <w:abstractNum w:abstractNumId="21">
    <w:nsid w:val="444373FA"/>
    <w:multiLevelType w:val="hybridMultilevel"/>
    <w:tmpl w:val="FE6AD2BE"/>
    <w:lvl w:ilvl="0" w:tplc="3ED26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7D0393B"/>
    <w:multiLevelType w:val="hybridMultilevel"/>
    <w:tmpl w:val="9F82BBE2"/>
    <w:lvl w:ilvl="0" w:tplc="69A092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>
    <w:nsid w:val="531352D7"/>
    <w:multiLevelType w:val="hybridMultilevel"/>
    <w:tmpl w:val="6D90B1A8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3ED263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803C5C"/>
    <w:multiLevelType w:val="hybridMultilevel"/>
    <w:tmpl w:val="92A088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E444AC"/>
    <w:multiLevelType w:val="hybridMultilevel"/>
    <w:tmpl w:val="0AB29C68"/>
    <w:lvl w:ilvl="0" w:tplc="D8527A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696231"/>
    <w:multiLevelType w:val="hybridMultilevel"/>
    <w:tmpl w:val="4D1C8DFC"/>
    <w:lvl w:ilvl="0" w:tplc="682825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6417C2"/>
    <w:multiLevelType w:val="hybridMultilevel"/>
    <w:tmpl w:val="394ED860"/>
    <w:lvl w:ilvl="0" w:tplc="93F0D99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725909BD"/>
    <w:multiLevelType w:val="hybridMultilevel"/>
    <w:tmpl w:val="93024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4647D"/>
    <w:multiLevelType w:val="hybridMultilevel"/>
    <w:tmpl w:val="5A306966"/>
    <w:lvl w:ilvl="0" w:tplc="077A39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2C5763"/>
    <w:multiLevelType w:val="hybridMultilevel"/>
    <w:tmpl w:val="35AEB0F0"/>
    <w:lvl w:ilvl="0" w:tplc="692886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0"/>
  </w:num>
  <w:num w:numId="3">
    <w:abstractNumId w:val="17"/>
  </w:num>
  <w:num w:numId="4">
    <w:abstractNumId w:val="9"/>
  </w:num>
  <w:num w:numId="5">
    <w:abstractNumId w:val="13"/>
  </w:num>
  <w:num w:numId="6">
    <w:abstractNumId w:val="18"/>
  </w:num>
  <w:num w:numId="7">
    <w:abstractNumId w:val="19"/>
  </w:num>
  <w:num w:numId="8">
    <w:abstractNumId w:val="24"/>
  </w:num>
  <w:num w:numId="9">
    <w:abstractNumId w:val="17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6"/>
  </w:num>
  <w:num w:numId="11">
    <w:abstractNumId w:val="22"/>
  </w:num>
  <w:num w:numId="12">
    <w:abstractNumId w:val="25"/>
  </w:num>
  <w:num w:numId="13">
    <w:abstractNumId w:val="3"/>
  </w:num>
  <w:num w:numId="14">
    <w:abstractNumId w:val="12"/>
  </w:num>
  <w:num w:numId="15">
    <w:abstractNumId w:val="26"/>
  </w:num>
  <w:num w:numId="16">
    <w:abstractNumId w:val="36"/>
  </w:num>
  <w:num w:numId="17">
    <w:abstractNumId w:val="23"/>
  </w:num>
  <w:num w:numId="18">
    <w:abstractNumId w:val="28"/>
  </w:num>
  <w:num w:numId="19">
    <w:abstractNumId w:val="35"/>
  </w:num>
  <w:num w:numId="20">
    <w:abstractNumId w:val="0"/>
  </w:num>
  <w:num w:numId="21">
    <w:abstractNumId w:val="3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1"/>
  </w:num>
  <w:num w:numId="27">
    <w:abstractNumId w:val="27"/>
  </w:num>
  <w:num w:numId="28">
    <w:abstractNumId w:val="10"/>
  </w:num>
  <w:num w:numId="29">
    <w:abstractNumId w:val="33"/>
  </w:num>
  <w:num w:numId="30">
    <w:abstractNumId w:val="34"/>
  </w:num>
  <w:num w:numId="31">
    <w:abstractNumId w:val="15"/>
  </w:num>
  <w:num w:numId="32">
    <w:abstractNumId w:val="1"/>
  </w:num>
  <w:num w:numId="33">
    <w:abstractNumId w:val="11"/>
  </w:num>
  <w:num w:numId="34">
    <w:abstractNumId w:val="31"/>
  </w:num>
  <w:num w:numId="35">
    <w:abstractNumId w:val="5"/>
  </w:num>
  <w:num w:numId="36">
    <w:abstractNumId w:val="4"/>
  </w:num>
  <w:num w:numId="37">
    <w:abstractNumId w:val="29"/>
  </w:num>
  <w:num w:numId="38">
    <w:abstractNumId w:val="7"/>
  </w:num>
  <w:num w:numId="39">
    <w:abstractNumId w:val="8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8D"/>
    <w:rsid w:val="0001101F"/>
    <w:rsid w:val="00034D71"/>
    <w:rsid w:val="000502C8"/>
    <w:rsid w:val="000600B3"/>
    <w:rsid w:val="0007211A"/>
    <w:rsid w:val="00097D85"/>
    <w:rsid w:val="000A1EFE"/>
    <w:rsid w:val="000A2478"/>
    <w:rsid w:val="000A3CB7"/>
    <w:rsid w:val="000B5B86"/>
    <w:rsid w:val="000C4D1F"/>
    <w:rsid w:val="000F0C83"/>
    <w:rsid w:val="001105BD"/>
    <w:rsid w:val="001158FA"/>
    <w:rsid w:val="001260C2"/>
    <w:rsid w:val="001439F2"/>
    <w:rsid w:val="001535EF"/>
    <w:rsid w:val="00162086"/>
    <w:rsid w:val="0018057A"/>
    <w:rsid w:val="001B1F65"/>
    <w:rsid w:val="001D612D"/>
    <w:rsid w:val="001F0DE2"/>
    <w:rsid w:val="001F37C8"/>
    <w:rsid w:val="00201A36"/>
    <w:rsid w:val="00204292"/>
    <w:rsid w:val="00221985"/>
    <w:rsid w:val="0025331C"/>
    <w:rsid w:val="00257FA6"/>
    <w:rsid w:val="00261798"/>
    <w:rsid w:val="00266DF5"/>
    <w:rsid w:val="00267D30"/>
    <w:rsid w:val="00285828"/>
    <w:rsid w:val="00287A8D"/>
    <w:rsid w:val="002E67D3"/>
    <w:rsid w:val="002F2CB0"/>
    <w:rsid w:val="00303ABB"/>
    <w:rsid w:val="003629EE"/>
    <w:rsid w:val="00363CE8"/>
    <w:rsid w:val="00372C6F"/>
    <w:rsid w:val="003961FD"/>
    <w:rsid w:val="003976C9"/>
    <w:rsid w:val="003C24A3"/>
    <w:rsid w:val="003C548A"/>
    <w:rsid w:val="003E6968"/>
    <w:rsid w:val="004020A3"/>
    <w:rsid w:val="00421C55"/>
    <w:rsid w:val="00435692"/>
    <w:rsid w:val="00453544"/>
    <w:rsid w:val="00454444"/>
    <w:rsid w:val="00460F2D"/>
    <w:rsid w:val="004619F7"/>
    <w:rsid w:val="004655B2"/>
    <w:rsid w:val="004717E1"/>
    <w:rsid w:val="00475BBC"/>
    <w:rsid w:val="00487989"/>
    <w:rsid w:val="004955D0"/>
    <w:rsid w:val="004963E2"/>
    <w:rsid w:val="004B5F62"/>
    <w:rsid w:val="004B6CA1"/>
    <w:rsid w:val="004C2C6A"/>
    <w:rsid w:val="004D6A0F"/>
    <w:rsid w:val="004E1F7C"/>
    <w:rsid w:val="0050710D"/>
    <w:rsid w:val="00514063"/>
    <w:rsid w:val="0053188B"/>
    <w:rsid w:val="0054400E"/>
    <w:rsid w:val="00556A1E"/>
    <w:rsid w:val="005814DD"/>
    <w:rsid w:val="0058215B"/>
    <w:rsid w:val="005864BB"/>
    <w:rsid w:val="0059529A"/>
    <w:rsid w:val="005A63FF"/>
    <w:rsid w:val="005B5162"/>
    <w:rsid w:val="005C7F40"/>
    <w:rsid w:val="005E1B7F"/>
    <w:rsid w:val="005F10BE"/>
    <w:rsid w:val="006259B0"/>
    <w:rsid w:val="00642192"/>
    <w:rsid w:val="00643965"/>
    <w:rsid w:val="00657A5D"/>
    <w:rsid w:val="0066240C"/>
    <w:rsid w:val="006A0252"/>
    <w:rsid w:val="006A46F1"/>
    <w:rsid w:val="006B6150"/>
    <w:rsid w:val="006B6B78"/>
    <w:rsid w:val="006C2C02"/>
    <w:rsid w:val="006C31F8"/>
    <w:rsid w:val="00723B4B"/>
    <w:rsid w:val="0072431F"/>
    <w:rsid w:val="00737451"/>
    <w:rsid w:val="00744B21"/>
    <w:rsid w:val="00770240"/>
    <w:rsid w:val="00776220"/>
    <w:rsid w:val="00781288"/>
    <w:rsid w:val="007A0EF0"/>
    <w:rsid w:val="007A1946"/>
    <w:rsid w:val="007A4DDF"/>
    <w:rsid w:val="007B64FB"/>
    <w:rsid w:val="007D3B03"/>
    <w:rsid w:val="007E49B5"/>
    <w:rsid w:val="00805F25"/>
    <w:rsid w:val="00811FD4"/>
    <w:rsid w:val="0081659D"/>
    <w:rsid w:val="008333CC"/>
    <w:rsid w:val="00854268"/>
    <w:rsid w:val="00854696"/>
    <w:rsid w:val="008643C4"/>
    <w:rsid w:val="00871F32"/>
    <w:rsid w:val="008B2273"/>
    <w:rsid w:val="008C0D78"/>
    <w:rsid w:val="008C364D"/>
    <w:rsid w:val="008F6844"/>
    <w:rsid w:val="008F776D"/>
    <w:rsid w:val="00910885"/>
    <w:rsid w:val="00917315"/>
    <w:rsid w:val="009201FF"/>
    <w:rsid w:val="009203D3"/>
    <w:rsid w:val="0092435F"/>
    <w:rsid w:val="009449BE"/>
    <w:rsid w:val="0096011F"/>
    <w:rsid w:val="00982BF4"/>
    <w:rsid w:val="009A2AD0"/>
    <w:rsid w:val="009B1143"/>
    <w:rsid w:val="009B3C3E"/>
    <w:rsid w:val="009C1530"/>
    <w:rsid w:val="009E4BC1"/>
    <w:rsid w:val="009E60E1"/>
    <w:rsid w:val="009E60EA"/>
    <w:rsid w:val="00A05649"/>
    <w:rsid w:val="00A06BD3"/>
    <w:rsid w:val="00A312F1"/>
    <w:rsid w:val="00A31672"/>
    <w:rsid w:val="00A321C2"/>
    <w:rsid w:val="00A8074B"/>
    <w:rsid w:val="00A84637"/>
    <w:rsid w:val="00A8661E"/>
    <w:rsid w:val="00A97538"/>
    <w:rsid w:val="00AC70FF"/>
    <w:rsid w:val="00AD1E3F"/>
    <w:rsid w:val="00AE14E5"/>
    <w:rsid w:val="00B12093"/>
    <w:rsid w:val="00B20235"/>
    <w:rsid w:val="00B21553"/>
    <w:rsid w:val="00BA112F"/>
    <w:rsid w:val="00BB46D8"/>
    <w:rsid w:val="00BD3830"/>
    <w:rsid w:val="00BE3825"/>
    <w:rsid w:val="00BF4267"/>
    <w:rsid w:val="00C33228"/>
    <w:rsid w:val="00CA5ED3"/>
    <w:rsid w:val="00CB5DAB"/>
    <w:rsid w:val="00CC28B2"/>
    <w:rsid w:val="00CC349A"/>
    <w:rsid w:val="00CD0001"/>
    <w:rsid w:val="00CD4490"/>
    <w:rsid w:val="00CE537D"/>
    <w:rsid w:val="00CF4720"/>
    <w:rsid w:val="00D14E4A"/>
    <w:rsid w:val="00D17EEB"/>
    <w:rsid w:val="00D21ADC"/>
    <w:rsid w:val="00D462FC"/>
    <w:rsid w:val="00D627F0"/>
    <w:rsid w:val="00D831D3"/>
    <w:rsid w:val="00DC2718"/>
    <w:rsid w:val="00DE7763"/>
    <w:rsid w:val="00E07F98"/>
    <w:rsid w:val="00E2115C"/>
    <w:rsid w:val="00E32111"/>
    <w:rsid w:val="00E5763D"/>
    <w:rsid w:val="00E57F4E"/>
    <w:rsid w:val="00E60635"/>
    <w:rsid w:val="00E63A29"/>
    <w:rsid w:val="00E6655F"/>
    <w:rsid w:val="00E67575"/>
    <w:rsid w:val="00E706A9"/>
    <w:rsid w:val="00E76952"/>
    <w:rsid w:val="00EA0662"/>
    <w:rsid w:val="00EB0064"/>
    <w:rsid w:val="00EB3EAE"/>
    <w:rsid w:val="00EC4F8D"/>
    <w:rsid w:val="00ED31EF"/>
    <w:rsid w:val="00ED493C"/>
    <w:rsid w:val="00EE1949"/>
    <w:rsid w:val="00EF0125"/>
    <w:rsid w:val="00EF542D"/>
    <w:rsid w:val="00F056CC"/>
    <w:rsid w:val="00F30CC2"/>
    <w:rsid w:val="00F33BD2"/>
    <w:rsid w:val="00F457EB"/>
    <w:rsid w:val="00FA6490"/>
    <w:rsid w:val="00FA6D95"/>
    <w:rsid w:val="00FB175B"/>
    <w:rsid w:val="00FB1EEC"/>
    <w:rsid w:val="00FC238E"/>
    <w:rsid w:val="00FD096E"/>
    <w:rsid w:val="00FE1101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character" w:customStyle="1" w:styleId="Teksttreci6">
    <w:name w:val="Tekst treści (6)_"/>
    <w:basedOn w:val="Domylnaczcionkaakapitu"/>
    <w:link w:val="Teksttreci60"/>
    <w:rsid w:val="005A63F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63FF"/>
    <w:pPr>
      <w:shd w:val="clear" w:color="auto" w:fill="FFFFFF"/>
      <w:spacing w:line="0" w:lineRule="atLeast"/>
    </w:pPr>
    <w:rPr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1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101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B5B8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character" w:customStyle="1" w:styleId="Teksttreci6">
    <w:name w:val="Tekst treści (6)_"/>
    <w:basedOn w:val="Domylnaczcionkaakapitu"/>
    <w:link w:val="Teksttreci60"/>
    <w:rsid w:val="005A63F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63FF"/>
    <w:pPr>
      <w:shd w:val="clear" w:color="auto" w:fill="FFFFFF"/>
      <w:spacing w:line="0" w:lineRule="atLeast"/>
    </w:pPr>
    <w:rPr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1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101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B5B8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CE70-E59F-4083-828F-C634D482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Pilch</dc:creator>
  <cp:lastModifiedBy>Mariusz Kucharczyk</cp:lastModifiedBy>
  <cp:revision>2</cp:revision>
  <cp:lastPrinted>2022-06-14T11:55:00Z</cp:lastPrinted>
  <dcterms:created xsi:type="dcterms:W3CDTF">2022-08-02T09:56:00Z</dcterms:created>
  <dcterms:modified xsi:type="dcterms:W3CDTF">2022-08-02T09:56:00Z</dcterms:modified>
</cp:coreProperties>
</file>