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F77FA" w14:textId="743096C5" w:rsidR="00935C18" w:rsidRDefault="00935C18" w:rsidP="00757562">
      <w:pPr>
        <w:spacing w:after="0" w:line="360" w:lineRule="auto"/>
        <w:jc w:val="both"/>
        <w:rPr>
          <w:rFonts w:cstheme="minorHAnsi"/>
          <w:i/>
          <w:sz w:val="24"/>
          <w:szCs w:val="24"/>
        </w:rPr>
      </w:pPr>
      <w:bookmarkStart w:id="0" w:name="_GoBack"/>
      <w:bookmarkEnd w:id="0"/>
      <w:r>
        <w:rPr>
          <w:rFonts w:cstheme="minorHAnsi"/>
          <w:i/>
          <w:sz w:val="24"/>
          <w:szCs w:val="24"/>
        </w:rPr>
        <w:t>Zalecenia w sprawie praktyk odbywanych przez aplikantów XV rocznika aplikacji sędziowskiej po 24</w:t>
      </w:r>
      <w:r w:rsidR="004962B2">
        <w:rPr>
          <w:rFonts w:cstheme="minorHAnsi"/>
          <w:i/>
          <w:sz w:val="24"/>
          <w:szCs w:val="24"/>
        </w:rPr>
        <w:t>.</w:t>
      </w:r>
      <w:r>
        <w:rPr>
          <w:rFonts w:cstheme="minorHAnsi"/>
          <w:i/>
          <w:sz w:val="24"/>
          <w:szCs w:val="24"/>
        </w:rPr>
        <w:t xml:space="preserve"> zjeździe XV AS</w:t>
      </w:r>
    </w:p>
    <w:p w14:paraId="26409DCE" w14:textId="77777777" w:rsidR="00935C18" w:rsidRDefault="00935C18" w:rsidP="00757562">
      <w:pPr>
        <w:spacing w:after="0" w:line="360" w:lineRule="auto"/>
        <w:ind w:firstLine="4961"/>
        <w:rPr>
          <w:rFonts w:cstheme="minorHAnsi"/>
          <w:b/>
          <w:sz w:val="24"/>
          <w:szCs w:val="24"/>
        </w:rPr>
      </w:pPr>
      <w:r>
        <w:rPr>
          <w:rFonts w:cstheme="minorHAnsi"/>
          <w:b/>
          <w:sz w:val="24"/>
          <w:szCs w:val="24"/>
        </w:rPr>
        <w:t>Do</w:t>
      </w:r>
    </w:p>
    <w:p w14:paraId="17F2A953" w14:textId="77777777" w:rsidR="00935C18" w:rsidRDefault="00935C18" w:rsidP="00757562">
      <w:pPr>
        <w:spacing w:after="0" w:line="360" w:lineRule="auto"/>
        <w:ind w:firstLine="4961"/>
        <w:rPr>
          <w:rFonts w:cstheme="minorHAnsi"/>
          <w:b/>
          <w:sz w:val="24"/>
          <w:szCs w:val="24"/>
        </w:rPr>
      </w:pPr>
      <w:r>
        <w:rPr>
          <w:rFonts w:cstheme="minorHAnsi"/>
          <w:b/>
          <w:sz w:val="24"/>
          <w:szCs w:val="24"/>
        </w:rPr>
        <w:t>Patronów praktyk</w:t>
      </w:r>
    </w:p>
    <w:p w14:paraId="5356A58D" w14:textId="77777777" w:rsidR="00935C18" w:rsidRDefault="00935C18" w:rsidP="00757562">
      <w:pPr>
        <w:spacing w:after="0" w:line="360" w:lineRule="auto"/>
        <w:ind w:firstLine="4961"/>
        <w:rPr>
          <w:rFonts w:cstheme="minorHAnsi"/>
          <w:b/>
          <w:sz w:val="24"/>
          <w:szCs w:val="24"/>
        </w:rPr>
      </w:pPr>
      <w:r>
        <w:rPr>
          <w:rFonts w:cstheme="minorHAnsi"/>
          <w:b/>
          <w:sz w:val="24"/>
          <w:szCs w:val="24"/>
        </w:rPr>
        <w:t>oraz Patronów koordynatorów</w:t>
      </w:r>
    </w:p>
    <w:p w14:paraId="3E19E83E" w14:textId="77777777" w:rsidR="00935C18" w:rsidRDefault="00935C18" w:rsidP="00757562">
      <w:pPr>
        <w:spacing w:after="0" w:line="360" w:lineRule="auto"/>
        <w:ind w:firstLine="4961"/>
        <w:rPr>
          <w:rFonts w:cstheme="minorHAnsi"/>
          <w:b/>
          <w:sz w:val="24"/>
          <w:szCs w:val="24"/>
        </w:rPr>
      </w:pPr>
      <w:r>
        <w:rPr>
          <w:rFonts w:cstheme="minorHAnsi"/>
          <w:b/>
          <w:sz w:val="24"/>
          <w:szCs w:val="24"/>
        </w:rPr>
        <w:t>aplikantów aplikacji sędziowskiej</w:t>
      </w:r>
    </w:p>
    <w:p w14:paraId="335F9D03" w14:textId="65FD9977" w:rsidR="00935C18" w:rsidRPr="00541F6A" w:rsidRDefault="00935C18" w:rsidP="00757562">
      <w:pPr>
        <w:spacing w:after="200" w:line="360" w:lineRule="auto"/>
        <w:ind w:firstLine="709"/>
        <w:jc w:val="both"/>
        <w:rPr>
          <w:rFonts w:cstheme="minorHAnsi"/>
          <w:sz w:val="24"/>
          <w:szCs w:val="24"/>
        </w:rPr>
      </w:pPr>
      <w:r>
        <w:rPr>
          <w:sz w:val="24"/>
          <w:szCs w:val="24"/>
        </w:rPr>
        <w:t xml:space="preserve">Uprzejmie przedstawiam szczegółowy zakres tematyczny, który winien być przedmiotem </w:t>
      </w:r>
      <w:r w:rsidRPr="00541F6A">
        <w:rPr>
          <w:rFonts w:cstheme="minorHAnsi"/>
          <w:sz w:val="24"/>
          <w:szCs w:val="24"/>
        </w:rPr>
        <w:t>praktyk aplikantów XV rocznika aplikacji sędziowskiej odbywanych po 24</w:t>
      </w:r>
      <w:r w:rsidR="004962B2">
        <w:rPr>
          <w:rFonts w:cstheme="minorHAnsi"/>
          <w:sz w:val="24"/>
          <w:szCs w:val="24"/>
        </w:rPr>
        <w:t>.</w:t>
      </w:r>
      <w:r w:rsidRPr="00541F6A">
        <w:rPr>
          <w:rFonts w:cstheme="minorHAnsi"/>
          <w:sz w:val="24"/>
          <w:szCs w:val="24"/>
        </w:rPr>
        <w:t> zjeździe w okresie</w:t>
      </w:r>
      <w:r w:rsidR="00541F6A">
        <w:rPr>
          <w:rFonts w:cstheme="minorHAnsi"/>
          <w:sz w:val="24"/>
          <w:szCs w:val="24"/>
        </w:rPr>
        <w:t xml:space="preserve"> </w:t>
      </w:r>
      <w:r w:rsidR="004F22C0">
        <w:rPr>
          <w:rFonts w:ascii="Calibri-Bold" w:hAnsi="Calibri-Bold" w:cs="Calibri-Bold"/>
          <w:b/>
          <w:bCs/>
          <w:sz w:val="24"/>
          <w:szCs w:val="24"/>
        </w:rPr>
        <w:t xml:space="preserve">23.02.2026 r. – 20.03.2026 r. </w:t>
      </w:r>
      <w:r w:rsidRPr="00541F6A">
        <w:rPr>
          <w:rFonts w:cstheme="minorHAnsi"/>
          <w:b/>
          <w:sz w:val="24"/>
          <w:szCs w:val="24"/>
        </w:rPr>
        <w:t>w wydziale cywilnym, w którym rozpatrywane są sprawy w trybie nieprocesowym.</w:t>
      </w:r>
    </w:p>
    <w:p w14:paraId="76175D92" w14:textId="789575BF" w:rsidR="00935C18" w:rsidRDefault="00935C18" w:rsidP="00757562">
      <w:pPr>
        <w:spacing w:after="200" w:line="360" w:lineRule="auto"/>
        <w:ind w:firstLine="709"/>
        <w:jc w:val="both"/>
        <w:rPr>
          <w:rFonts w:cstheme="minorHAnsi"/>
          <w:sz w:val="24"/>
          <w:szCs w:val="24"/>
        </w:rPr>
      </w:pPr>
      <w:r>
        <w:rPr>
          <w:rFonts w:cstheme="minorHAnsi"/>
          <w:sz w:val="24"/>
          <w:szCs w:val="24"/>
        </w:rPr>
        <w:t>Założeniem praktyki, co do zasady, jest zaznajomienie aplikantów z czynnościami i metodyką pracy sędziego oraz doskonalenie umiejętności wykorzystania wiedzy teoretycznej i znajomości orzecznictwa. Praktyka winna utrwalać wiedzę zdobytą podczas bezpośrednio poprzedzających ją zajęć seminaryjnych w ramach zjazdu.</w:t>
      </w:r>
    </w:p>
    <w:p w14:paraId="796DA6F1" w14:textId="79BA3BCF" w:rsidR="00935C18" w:rsidRDefault="00935C18" w:rsidP="00757562">
      <w:pPr>
        <w:spacing w:after="200" w:line="360" w:lineRule="auto"/>
        <w:ind w:firstLine="709"/>
        <w:jc w:val="both"/>
        <w:rPr>
          <w:rFonts w:cstheme="minorHAnsi"/>
          <w:sz w:val="24"/>
          <w:szCs w:val="24"/>
        </w:rPr>
      </w:pPr>
      <w:r>
        <w:rPr>
          <w:rFonts w:eastAsia="Times New Roman" w:cstheme="minorHAnsi"/>
          <w:sz w:val="24"/>
          <w:szCs w:val="24"/>
        </w:rPr>
        <w:t>Patron praktyki ma obowiązek omówić z aplikantem cel, szczegółowy zakres tematyczny praktyki i jej planowany przebieg oraz zapoznać aplikanta ze swoim stanowiskiem pracy i strukturą organizacyjną jednostki, w której jest zatrudniony.</w:t>
      </w:r>
    </w:p>
    <w:p w14:paraId="7EAA63F5" w14:textId="122A3EDC" w:rsidR="00935C18" w:rsidRDefault="00935C18" w:rsidP="00757562">
      <w:pPr>
        <w:spacing w:after="200" w:line="360" w:lineRule="auto"/>
        <w:ind w:firstLine="709"/>
        <w:jc w:val="both"/>
        <w:rPr>
          <w:rFonts w:eastAsia="Times New Roman" w:cstheme="minorHAnsi"/>
          <w:sz w:val="24"/>
          <w:szCs w:val="24"/>
          <w:u w:val="single"/>
        </w:rPr>
      </w:pPr>
      <w:r>
        <w:rPr>
          <w:rFonts w:eastAsia="Times New Roman" w:cstheme="minorHAnsi"/>
          <w:sz w:val="24"/>
          <w:szCs w:val="24"/>
        </w:rPr>
        <w:t xml:space="preserve">Patron praktyki powinien w pierwszej kolejności powierzać aplikantowi wykonanie czynności określonych </w:t>
      </w:r>
      <w:r>
        <w:rPr>
          <w:rFonts w:cstheme="minorHAnsi"/>
          <w:noProof/>
          <w:sz w:val="24"/>
          <w:szCs w:val="24"/>
        </w:rPr>
        <w:t xml:space="preserve">w zaleceniach dotyczących przebiegu praktyki po zjeździe (czynności obowiązkowe), </w:t>
      </w:r>
      <w:r>
        <w:rPr>
          <w:rFonts w:eastAsia="Times New Roman" w:cstheme="minorHAnsi"/>
          <w:sz w:val="24"/>
          <w:szCs w:val="24"/>
        </w:rPr>
        <w:t xml:space="preserve">udzielać aplikantowi wskazówek i pomocy przy wykonywaniu tych czynności oraz </w:t>
      </w:r>
      <w:r w:rsidRPr="004F22C0">
        <w:rPr>
          <w:rFonts w:eastAsia="Times New Roman" w:cstheme="minorHAnsi"/>
          <w:sz w:val="24"/>
          <w:szCs w:val="24"/>
        </w:rPr>
        <w:t>kontrolować prawidłowość ich wykonania.</w:t>
      </w:r>
    </w:p>
    <w:p w14:paraId="69C9AA4F" w14:textId="77E7115F" w:rsidR="00935C18" w:rsidRDefault="00935C18" w:rsidP="00757562">
      <w:pPr>
        <w:spacing w:after="200" w:line="360" w:lineRule="auto"/>
        <w:ind w:firstLine="709"/>
        <w:jc w:val="both"/>
        <w:rPr>
          <w:rFonts w:cstheme="minorHAnsi"/>
          <w:b/>
          <w:sz w:val="24"/>
          <w:szCs w:val="24"/>
        </w:rPr>
      </w:pPr>
      <w:r>
        <w:rPr>
          <w:rFonts w:cstheme="minorHAnsi"/>
          <w:b/>
          <w:sz w:val="24"/>
          <w:szCs w:val="24"/>
        </w:rPr>
        <w:t>Po wykonaniu czynności przez aplikanta należy szczegółowo omówić z nim rezultaty jego pracy, w tym ewentualne uchybienia.</w:t>
      </w:r>
    </w:p>
    <w:p w14:paraId="4BEFB9F1" w14:textId="77777777" w:rsidR="00935C18" w:rsidRDefault="00935C18" w:rsidP="00757562">
      <w:pPr>
        <w:spacing w:after="200" w:line="360" w:lineRule="auto"/>
        <w:ind w:firstLine="709"/>
        <w:jc w:val="both"/>
        <w:rPr>
          <w:rFonts w:cstheme="minorHAnsi"/>
          <w:bCs/>
          <w:sz w:val="24"/>
          <w:szCs w:val="24"/>
        </w:rPr>
      </w:pPr>
      <w:r>
        <w:rPr>
          <w:rFonts w:cstheme="minorHAnsi"/>
          <w:sz w:val="24"/>
          <w:szCs w:val="24"/>
        </w:rPr>
        <w:t xml:space="preserve">Zaleca się angażowanie aplikanta w czynności, o których mowa w art. 45 § 3 </w:t>
      </w:r>
      <w:r>
        <w:rPr>
          <w:rFonts w:cstheme="minorHAnsi"/>
          <w:bCs/>
          <w:sz w:val="24"/>
          <w:szCs w:val="24"/>
        </w:rPr>
        <w:t>ustawy z dnia 27 lipca 2001 r. Prawo o ustroju sądów powszechnych.</w:t>
      </w:r>
    </w:p>
    <w:p w14:paraId="26D92BBA" w14:textId="05489102" w:rsidR="00935C18" w:rsidRPr="00935C18" w:rsidRDefault="00935C18" w:rsidP="00757562">
      <w:pPr>
        <w:spacing w:after="200" w:line="360" w:lineRule="auto"/>
        <w:ind w:firstLine="709"/>
        <w:jc w:val="both"/>
        <w:rPr>
          <w:rFonts w:cstheme="minorHAnsi"/>
          <w:sz w:val="24"/>
          <w:szCs w:val="24"/>
        </w:rPr>
      </w:pPr>
      <w:r>
        <w:rPr>
          <w:rFonts w:eastAsia="Times New Roman" w:cstheme="minorHAnsi"/>
          <w:sz w:val="24"/>
          <w:szCs w:val="24"/>
        </w:rPr>
        <w:t xml:space="preserve">Uprzejmie proszę o zapoznanie się </w:t>
      </w:r>
      <w:r>
        <w:rPr>
          <w:rFonts w:eastAsia="Times New Roman" w:cstheme="minorHAnsi"/>
          <w:b/>
          <w:sz w:val="24"/>
          <w:szCs w:val="24"/>
        </w:rPr>
        <w:t xml:space="preserve">z zarządzeniem Dyrektora Krajowej Szkoły Sądownictwa i Prokuratury Nr 539/2021 z dnia 27 października 2021 r. w sprawie szczegółowych zasad odbywania praktyk przez aplikantów aplikacji sędziowskiej i aplikacji </w:t>
      </w:r>
      <w:r>
        <w:rPr>
          <w:rFonts w:eastAsia="Times New Roman" w:cstheme="minorHAnsi"/>
          <w:b/>
          <w:sz w:val="24"/>
          <w:szCs w:val="24"/>
        </w:rPr>
        <w:lastRenderedPageBreak/>
        <w:t>prokuratorskie</w:t>
      </w:r>
      <w:r>
        <w:rPr>
          <w:rFonts w:eastAsia="Times New Roman" w:cstheme="minorHAnsi"/>
          <w:sz w:val="24"/>
          <w:szCs w:val="24"/>
        </w:rPr>
        <w:t>j, które znajduje się na stronie internetowej Krajowej Szkoły Sądownictwa i Prokuratury pod adresem</w:t>
      </w:r>
      <w:r>
        <w:rPr>
          <w:rFonts w:cstheme="minorHAnsi"/>
          <w:sz w:val="24"/>
          <w:szCs w:val="24"/>
        </w:rPr>
        <w:t xml:space="preserve"> </w:t>
      </w:r>
      <w:hyperlink r:id="rId8" w:history="1">
        <w:r>
          <w:rPr>
            <w:rStyle w:val="Hipercze"/>
            <w:rFonts w:eastAsia="Times New Roman" w:cstheme="minorHAnsi"/>
            <w:sz w:val="24"/>
            <w:szCs w:val="24"/>
          </w:rPr>
          <w:t>https://www.kssip.gov.pl/node/7958.</w:t>
        </w:r>
      </w:hyperlink>
    </w:p>
    <w:p w14:paraId="76918120" w14:textId="5446369A" w:rsidR="00C90DAB" w:rsidRPr="002A75E2" w:rsidRDefault="003E0435" w:rsidP="00757562">
      <w:pPr>
        <w:pStyle w:val="Default"/>
        <w:spacing w:after="200" w:line="360" w:lineRule="auto"/>
        <w:ind w:firstLine="709"/>
        <w:jc w:val="both"/>
        <w:rPr>
          <w:rFonts w:asciiTheme="minorHAnsi" w:hAnsiTheme="minorHAnsi" w:cstheme="minorHAnsi"/>
          <w:b/>
          <w:color w:val="auto"/>
        </w:rPr>
      </w:pPr>
      <w:r w:rsidRPr="002A75E2">
        <w:rPr>
          <w:rFonts w:asciiTheme="minorHAnsi" w:hAnsiTheme="minorHAnsi" w:cstheme="minorHAnsi"/>
          <w:b/>
        </w:rPr>
        <w:t xml:space="preserve">Przedmiot zjazdu: </w:t>
      </w:r>
      <w:r w:rsidR="002A75E2" w:rsidRPr="002A75E2">
        <w:rPr>
          <w:rFonts w:asciiTheme="minorHAnsi" w:hAnsiTheme="minorHAnsi" w:cstheme="minorHAnsi"/>
          <w:color w:val="auto"/>
        </w:rPr>
        <w:t>zniesienie współwłasności, podział majątku wspólnego, dział spadku</w:t>
      </w:r>
      <w:r w:rsidR="00B15E44">
        <w:rPr>
          <w:rFonts w:asciiTheme="minorHAnsi" w:hAnsiTheme="minorHAnsi" w:cstheme="minorHAnsi"/>
          <w:color w:val="auto"/>
        </w:rPr>
        <w:t>,</w:t>
      </w:r>
      <w:r w:rsidR="002A75E2" w:rsidRPr="002A75E2">
        <w:rPr>
          <w:rFonts w:asciiTheme="minorHAnsi" w:hAnsiTheme="minorHAnsi" w:cstheme="minorHAnsi"/>
          <w:color w:val="auto"/>
        </w:rPr>
        <w:t xml:space="preserve"> postępowanie nieprocesowe</w:t>
      </w:r>
      <w:r w:rsidR="003E5ACE">
        <w:rPr>
          <w:rFonts w:asciiTheme="minorHAnsi" w:hAnsiTheme="minorHAnsi" w:cstheme="minorHAnsi"/>
          <w:color w:val="auto"/>
        </w:rPr>
        <w:t>.</w:t>
      </w:r>
    </w:p>
    <w:p w14:paraId="0254263E" w14:textId="3534DB21" w:rsidR="00274DFC" w:rsidRPr="0084739C" w:rsidRDefault="00274DFC" w:rsidP="00757562">
      <w:pPr>
        <w:spacing w:after="200" w:line="360" w:lineRule="auto"/>
        <w:ind w:firstLine="709"/>
        <w:jc w:val="both"/>
        <w:rPr>
          <w:rFonts w:cstheme="minorHAnsi"/>
          <w:sz w:val="24"/>
          <w:szCs w:val="24"/>
        </w:rPr>
      </w:pPr>
      <w:r w:rsidRPr="0084739C">
        <w:rPr>
          <w:rFonts w:cstheme="minorHAnsi"/>
          <w:sz w:val="24"/>
          <w:szCs w:val="24"/>
        </w:rPr>
        <w:t xml:space="preserve">W zakresie </w:t>
      </w:r>
      <w:r w:rsidRPr="0084739C">
        <w:rPr>
          <w:rFonts w:cstheme="minorHAnsi"/>
          <w:b/>
          <w:sz w:val="24"/>
          <w:szCs w:val="24"/>
        </w:rPr>
        <w:t>prawa materialnego</w:t>
      </w:r>
      <w:r w:rsidR="003E5ACE">
        <w:rPr>
          <w:rFonts w:cstheme="minorHAnsi"/>
          <w:sz w:val="24"/>
          <w:szCs w:val="24"/>
        </w:rPr>
        <w:t>,</w:t>
      </w:r>
      <w:r w:rsidRPr="0084739C">
        <w:rPr>
          <w:rFonts w:cstheme="minorHAnsi"/>
          <w:sz w:val="24"/>
          <w:szCs w:val="24"/>
        </w:rPr>
        <w:t xml:space="preserve"> należy poświęcić szczególną uwagę zagadnieni</w:t>
      </w:r>
      <w:r w:rsidR="003E5ACE">
        <w:rPr>
          <w:rFonts w:cstheme="minorHAnsi"/>
          <w:sz w:val="24"/>
          <w:szCs w:val="24"/>
        </w:rPr>
        <w:t>o</w:t>
      </w:r>
      <w:r w:rsidRPr="0084739C">
        <w:rPr>
          <w:rFonts w:cstheme="minorHAnsi"/>
          <w:sz w:val="24"/>
          <w:szCs w:val="24"/>
        </w:rPr>
        <w:t>m prawa cywilnego, które obejmują:</w:t>
      </w:r>
    </w:p>
    <w:p w14:paraId="28935A5A" w14:textId="77777777" w:rsidR="00F73855" w:rsidRPr="0084739C" w:rsidRDefault="00F73855" w:rsidP="00757562">
      <w:pPr>
        <w:pStyle w:val="Akapitzlist"/>
        <w:numPr>
          <w:ilvl w:val="0"/>
          <w:numId w:val="14"/>
        </w:numPr>
        <w:spacing w:after="200" w:line="360" w:lineRule="auto"/>
        <w:contextualSpacing w:val="0"/>
        <w:jc w:val="both"/>
        <w:rPr>
          <w:rFonts w:eastAsia="Andale Sans UI" w:cstheme="minorHAnsi"/>
          <w:kern w:val="3"/>
          <w:sz w:val="24"/>
          <w:szCs w:val="24"/>
        </w:rPr>
      </w:pPr>
      <w:r w:rsidRPr="0084739C">
        <w:rPr>
          <w:rFonts w:eastAsia="Andale Sans UI" w:cstheme="minorHAnsi"/>
          <w:kern w:val="3"/>
          <w:sz w:val="24"/>
          <w:szCs w:val="24"/>
        </w:rPr>
        <w:t>zniesienie współwłasności, a w szczególności:</w:t>
      </w:r>
    </w:p>
    <w:p w14:paraId="37FE0324" w14:textId="01B5C435" w:rsidR="00F73855" w:rsidRPr="0084739C" w:rsidRDefault="00F73855" w:rsidP="00757562">
      <w:pPr>
        <w:pStyle w:val="Akapitzlist"/>
        <w:numPr>
          <w:ilvl w:val="0"/>
          <w:numId w:val="15"/>
        </w:numPr>
        <w:spacing w:after="0" w:line="360" w:lineRule="auto"/>
        <w:ind w:left="993" w:hanging="284"/>
        <w:contextualSpacing w:val="0"/>
        <w:jc w:val="both"/>
        <w:rPr>
          <w:rFonts w:eastAsia="Andale Sans UI" w:cstheme="minorHAnsi"/>
          <w:kern w:val="3"/>
          <w:sz w:val="24"/>
          <w:szCs w:val="24"/>
        </w:rPr>
      </w:pPr>
      <w:r w:rsidRPr="0084739C">
        <w:rPr>
          <w:rFonts w:eastAsia="Andale Sans UI" w:cstheme="minorHAnsi"/>
          <w:kern w:val="3"/>
          <w:sz w:val="24"/>
          <w:szCs w:val="24"/>
        </w:rPr>
        <w:t>różne sposoby zniesienia współwłasności (przy uwzględnieniu zasady pierwszeństwa podziału fizycznego)</w:t>
      </w:r>
    </w:p>
    <w:p w14:paraId="26CB4AC1" w14:textId="77777777" w:rsidR="00F73855" w:rsidRPr="0084739C" w:rsidRDefault="00F73855" w:rsidP="00757562">
      <w:pPr>
        <w:pStyle w:val="Akapitzlist"/>
        <w:numPr>
          <w:ilvl w:val="0"/>
          <w:numId w:val="15"/>
        </w:numPr>
        <w:spacing w:after="0" w:line="360" w:lineRule="auto"/>
        <w:ind w:left="993" w:hanging="284"/>
        <w:contextualSpacing w:val="0"/>
        <w:jc w:val="both"/>
        <w:rPr>
          <w:rFonts w:eastAsia="Andale Sans UI" w:cstheme="minorHAnsi"/>
          <w:kern w:val="3"/>
          <w:sz w:val="24"/>
          <w:szCs w:val="24"/>
        </w:rPr>
      </w:pPr>
      <w:r w:rsidRPr="0084739C">
        <w:rPr>
          <w:rFonts w:eastAsia="Andale Sans UI" w:cstheme="minorHAnsi"/>
          <w:kern w:val="3"/>
          <w:sz w:val="24"/>
          <w:szCs w:val="24"/>
        </w:rPr>
        <w:t>zniesienie współwłasności poprzez wyodrębnienie lokali,</w:t>
      </w:r>
    </w:p>
    <w:p w14:paraId="6B3809E9" w14:textId="77777777" w:rsidR="00CE2765" w:rsidRPr="0084739C" w:rsidRDefault="00F73855" w:rsidP="00757562">
      <w:pPr>
        <w:pStyle w:val="Akapitzlist"/>
        <w:numPr>
          <w:ilvl w:val="0"/>
          <w:numId w:val="15"/>
        </w:numPr>
        <w:spacing w:after="0" w:line="360" w:lineRule="auto"/>
        <w:ind w:left="993" w:hanging="284"/>
        <w:contextualSpacing w:val="0"/>
        <w:jc w:val="both"/>
        <w:rPr>
          <w:rFonts w:eastAsia="Andale Sans UI" w:cstheme="minorHAnsi"/>
          <w:kern w:val="3"/>
          <w:sz w:val="24"/>
          <w:szCs w:val="24"/>
        </w:rPr>
      </w:pPr>
      <w:r w:rsidRPr="0084739C">
        <w:rPr>
          <w:rFonts w:eastAsia="Andale Sans UI" w:cstheme="minorHAnsi"/>
          <w:kern w:val="3"/>
          <w:sz w:val="24"/>
          <w:szCs w:val="24"/>
        </w:rPr>
        <w:t>zniesienie współwłasności poprzez sprzedaż licytacyjną,</w:t>
      </w:r>
    </w:p>
    <w:p w14:paraId="6C42DFAD" w14:textId="32225C34" w:rsidR="00F73855" w:rsidRPr="0084739C" w:rsidRDefault="00F73855" w:rsidP="00757562">
      <w:pPr>
        <w:pStyle w:val="Akapitzlist"/>
        <w:numPr>
          <w:ilvl w:val="0"/>
          <w:numId w:val="15"/>
        </w:numPr>
        <w:spacing w:after="200" w:line="360" w:lineRule="auto"/>
        <w:ind w:left="993" w:hanging="284"/>
        <w:contextualSpacing w:val="0"/>
        <w:jc w:val="both"/>
        <w:rPr>
          <w:rFonts w:eastAsia="Andale Sans UI" w:cstheme="minorHAnsi"/>
          <w:kern w:val="3"/>
          <w:sz w:val="24"/>
          <w:szCs w:val="24"/>
        </w:rPr>
      </w:pPr>
      <w:r w:rsidRPr="0084739C">
        <w:rPr>
          <w:rFonts w:eastAsia="Andale Sans UI" w:cstheme="minorHAnsi"/>
          <w:kern w:val="3"/>
          <w:sz w:val="24"/>
          <w:szCs w:val="24"/>
        </w:rPr>
        <w:t>zasady rozliczeń wzajemnych roszczeń współwłaścicieli z tytułu posiadania rzeczy;</w:t>
      </w:r>
    </w:p>
    <w:p w14:paraId="5C8BD2FA" w14:textId="77777777" w:rsidR="00F73855" w:rsidRPr="0084739C" w:rsidRDefault="00F73855" w:rsidP="00757562">
      <w:pPr>
        <w:pStyle w:val="Akapitzlist"/>
        <w:numPr>
          <w:ilvl w:val="0"/>
          <w:numId w:val="14"/>
        </w:numPr>
        <w:spacing w:after="200" w:line="360" w:lineRule="auto"/>
        <w:contextualSpacing w:val="0"/>
        <w:jc w:val="both"/>
        <w:rPr>
          <w:rFonts w:eastAsia="Andale Sans UI" w:cstheme="minorHAnsi"/>
          <w:kern w:val="3"/>
          <w:sz w:val="24"/>
          <w:szCs w:val="24"/>
        </w:rPr>
      </w:pPr>
      <w:r w:rsidRPr="0084739C">
        <w:rPr>
          <w:rFonts w:eastAsia="Andale Sans UI" w:cstheme="minorHAnsi"/>
          <w:kern w:val="3"/>
          <w:sz w:val="24"/>
          <w:szCs w:val="24"/>
        </w:rPr>
        <w:t>podział majątku wspólnego, a w szczególności:</w:t>
      </w:r>
    </w:p>
    <w:p w14:paraId="7B29A6A5" w14:textId="77777777" w:rsidR="00F73855" w:rsidRPr="0084739C" w:rsidRDefault="00F73855" w:rsidP="00757562">
      <w:pPr>
        <w:pStyle w:val="Akapitzlist"/>
        <w:numPr>
          <w:ilvl w:val="0"/>
          <w:numId w:val="16"/>
        </w:numPr>
        <w:spacing w:after="0" w:line="360" w:lineRule="auto"/>
        <w:ind w:left="993" w:hanging="284"/>
        <w:contextualSpacing w:val="0"/>
        <w:jc w:val="both"/>
        <w:rPr>
          <w:rFonts w:eastAsia="Andale Sans UI" w:cstheme="minorHAnsi"/>
          <w:kern w:val="3"/>
          <w:sz w:val="24"/>
          <w:szCs w:val="24"/>
        </w:rPr>
      </w:pPr>
      <w:r w:rsidRPr="0084739C">
        <w:rPr>
          <w:rFonts w:eastAsia="Andale Sans UI" w:cstheme="minorHAnsi"/>
          <w:kern w:val="3"/>
          <w:sz w:val="24"/>
          <w:szCs w:val="24"/>
        </w:rPr>
        <w:t>małżeńskie ustroje majątkowe,</w:t>
      </w:r>
    </w:p>
    <w:p w14:paraId="07EB0261" w14:textId="77777777" w:rsidR="00F73855" w:rsidRPr="0084739C" w:rsidRDefault="00F73855" w:rsidP="00757562">
      <w:pPr>
        <w:pStyle w:val="Akapitzlist"/>
        <w:numPr>
          <w:ilvl w:val="0"/>
          <w:numId w:val="16"/>
        </w:numPr>
        <w:spacing w:after="0" w:line="360" w:lineRule="auto"/>
        <w:ind w:left="993" w:hanging="284"/>
        <w:contextualSpacing w:val="0"/>
        <w:jc w:val="both"/>
        <w:rPr>
          <w:rFonts w:eastAsia="Andale Sans UI" w:cstheme="minorHAnsi"/>
          <w:kern w:val="3"/>
          <w:sz w:val="24"/>
          <w:szCs w:val="24"/>
        </w:rPr>
      </w:pPr>
      <w:r w:rsidRPr="0084739C">
        <w:rPr>
          <w:rFonts w:eastAsia="Andale Sans UI" w:cstheme="minorHAnsi"/>
          <w:kern w:val="3"/>
          <w:sz w:val="24"/>
          <w:szCs w:val="24"/>
        </w:rPr>
        <w:t>majątek wspólny a majątek osobisty,</w:t>
      </w:r>
    </w:p>
    <w:p w14:paraId="5DC6EF38" w14:textId="77777777" w:rsidR="00F73855" w:rsidRPr="0084739C" w:rsidRDefault="00F73855" w:rsidP="00757562">
      <w:pPr>
        <w:pStyle w:val="Akapitzlist"/>
        <w:numPr>
          <w:ilvl w:val="0"/>
          <w:numId w:val="16"/>
        </w:numPr>
        <w:spacing w:after="0" w:line="360" w:lineRule="auto"/>
        <w:ind w:left="993" w:hanging="284"/>
        <w:contextualSpacing w:val="0"/>
        <w:jc w:val="both"/>
        <w:rPr>
          <w:rFonts w:eastAsia="Andale Sans UI" w:cstheme="minorHAnsi"/>
          <w:kern w:val="3"/>
          <w:sz w:val="24"/>
          <w:szCs w:val="24"/>
        </w:rPr>
      </w:pPr>
      <w:r w:rsidRPr="0084739C">
        <w:rPr>
          <w:rFonts w:eastAsia="Andale Sans UI" w:cstheme="minorHAnsi"/>
          <w:kern w:val="3"/>
          <w:sz w:val="24"/>
          <w:szCs w:val="24"/>
        </w:rPr>
        <w:t>przesłanki ustalenia nierównych udziałów w majątku wspólnym,</w:t>
      </w:r>
    </w:p>
    <w:p w14:paraId="33D42916" w14:textId="75471175" w:rsidR="00F73855" w:rsidRPr="0084739C" w:rsidRDefault="00F73855" w:rsidP="00757562">
      <w:pPr>
        <w:pStyle w:val="Akapitzlist"/>
        <w:numPr>
          <w:ilvl w:val="0"/>
          <w:numId w:val="16"/>
        </w:numPr>
        <w:spacing w:after="200" w:line="360" w:lineRule="auto"/>
        <w:ind w:left="993" w:hanging="284"/>
        <w:contextualSpacing w:val="0"/>
        <w:jc w:val="both"/>
        <w:rPr>
          <w:rFonts w:eastAsia="Andale Sans UI" w:cstheme="minorHAnsi"/>
          <w:kern w:val="3"/>
          <w:sz w:val="24"/>
          <w:szCs w:val="24"/>
        </w:rPr>
      </w:pPr>
      <w:r w:rsidRPr="0084739C">
        <w:rPr>
          <w:rFonts w:eastAsia="Andale Sans UI" w:cstheme="minorHAnsi"/>
          <w:kern w:val="3"/>
          <w:sz w:val="24"/>
          <w:szCs w:val="24"/>
        </w:rPr>
        <w:t xml:space="preserve">zasady rozliczeń wydatków i nakładów z majątku wspólnego na majątek osobisty </w:t>
      </w:r>
      <w:r w:rsidR="00AB6FE0" w:rsidRPr="0084739C">
        <w:rPr>
          <w:rFonts w:eastAsia="Andale Sans UI" w:cstheme="minorHAnsi"/>
          <w:kern w:val="3"/>
          <w:sz w:val="24"/>
          <w:szCs w:val="24"/>
        </w:rPr>
        <w:t xml:space="preserve">oraz </w:t>
      </w:r>
      <w:r w:rsidR="00274DFC" w:rsidRPr="0084739C">
        <w:rPr>
          <w:rFonts w:eastAsia="Andale Sans UI" w:cstheme="minorHAnsi"/>
          <w:kern w:val="3"/>
          <w:sz w:val="24"/>
          <w:szCs w:val="24"/>
        </w:rPr>
        <w:t xml:space="preserve">z </w:t>
      </w:r>
      <w:r w:rsidR="00AB6FE0" w:rsidRPr="0084739C">
        <w:rPr>
          <w:rFonts w:eastAsia="Andale Sans UI" w:cstheme="minorHAnsi"/>
          <w:kern w:val="3"/>
          <w:sz w:val="24"/>
          <w:szCs w:val="24"/>
        </w:rPr>
        <w:t>majątku</w:t>
      </w:r>
      <w:r w:rsidRPr="0084739C">
        <w:rPr>
          <w:rFonts w:eastAsia="Andale Sans UI" w:cstheme="minorHAnsi"/>
          <w:kern w:val="3"/>
          <w:sz w:val="24"/>
          <w:szCs w:val="24"/>
        </w:rPr>
        <w:t xml:space="preserve"> osobistego na majątek wspólny;</w:t>
      </w:r>
    </w:p>
    <w:p w14:paraId="6D39007D" w14:textId="2BEB5073" w:rsidR="00F73855" w:rsidRPr="0084739C" w:rsidRDefault="00F73855" w:rsidP="00757562">
      <w:pPr>
        <w:pStyle w:val="Akapitzlist"/>
        <w:numPr>
          <w:ilvl w:val="0"/>
          <w:numId w:val="14"/>
        </w:numPr>
        <w:spacing w:after="200" w:line="360" w:lineRule="auto"/>
        <w:ind w:left="714" w:hanging="357"/>
        <w:contextualSpacing w:val="0"/>
        <w:jc w:val="both"/>
        <w:rPr>
          <w:rFonts w:eastAsia="Andale Sans UI" w:cstheme="minorHAnsi"/>
          <w:kern w:val="3"/>
          <w:sz w:val="24"/>
          <w:szCs w:val="24"/>
        </w:rPr>
      </w:pPr>
      <w:r w:rsidRPr="0084739C">
        <w:rPr>
          <w:rFonts w:eastAsia="Andale Sans UI" w:cstheme="minorHAnsi"/>
          <w:kern w:val="3"/>
          <w:sz w:val="24"/>
          <w:szCs w:val="24"/>
        </w:rPr>
        <w:t>dział spadku, a w szczególności zaliczanie darowizn i zapisów windykacyjnych na</w:t>
      </w:r>
      <w:r w:rsidR="00545E0F" w:rsidRPr="0084739C">
        <w:rPr>
          <w:rFonts w:eastAsia="Andale Sans UI" w:cstheme="minorHAnsi"/>
          <w:kern w:val="3"/>
          <w:sz w:val="24"/>
          <w:szCs w:val="24"/>
        </w:rPr>
        <w:t> </w:t>
      </w:r>
      <w:r w:rsidRPr="0084739C">
        <w:rPr>
          <w:rFonts w:eastAsia="Andale Sans UI" w:cstheme="minorHAnsi"/>
          <w:kern w:val="3"/>
          <w:sz w:val="24"/>
          <w:szCs w:val="24"/>
        </w:rPr>
        <w:t>schedy spadkowe.</w:t>
      </w:r>
    </w:p>
    <w:p w14:paraId="6BF9C34E" w14:textId="43A71A34" w:rsidR="006B3C24" w:rsidRPr="0084739C" w:rsidRDefault="00274DFC" w:rsidP="00757562">
      <w:pPr>
        <w:spacing w:after="200" w:line="360" w:lineRule="auto"/>
        <w:ind w:firstLine="708"/>
        <w:jc w:val="both"/>
        <w:rPr>
          <w:rFonts w:cstheme="minorHAnsi"/>
          <w:sz w:val="24"/>
          <w:szCs w:val="24"/>
        </w:rPr>
      </w:pPr>
      <w:bookmarkStart w:id="1" w:name="_Hlk107475051"/>
      <w:r w:rsidRPr="0084739C">
        <w:rPr>
          <w:rFonts w:cstheme="minorHAnsi"/>
          <w:sz w:val="24"/>
          <w:szCs w:val="24"/>
        </w:rPr>
        <w:t xml:space="preserve">W zakresie </w:t>
      </w:r>
      <w:r w:rsidRPr="0084739C">
        <w:rPr>
          <w:rFonts w:cstheme="minorHAnsi"/>
          <w:b/>
          <w:sz w:val="24"/>
          <w:szCs w:val="24"/>
        </w:rPr>
        <w:t>prawa procesowego</w:t>
      </w:r>
      <w:r w:rsidR="003E5ACE">
        <w:rPr>
          <w:rFonts w:cstheme="minorHAnsi"/>
          <w:sz w:val="24"/>
          <w:szCs w:val="24"/>
        </w:rPr>
        <w:t>,</w:t>
      </w:r>
      <w:r w:rsidRPr="0084739C">
        <w:rPr>
          <w:rFonts w:cstheme="minorHAnsi"/>
          <w:sz w:val="24"/>
          <w:szCs w:val="24"/>
        </w:rPr>
        <w:t xml:space="preserve"> szczególną uwagę należy poświęcić następującym zagadnieniom</w:t>
      </w:r>
      <w:bookmarkEnd w:id="1"/>
      <w:r w:rsidR="003730BA" w:rsidRPr="0084739C">
        <w:rPr>
          <w:rFonts w:cstheme="minorHAnsi"/>
          <w:sz w:val="24"/>
          <w:szCs w:val="24"/>
        </w:rPr>
        <w:t>:</w:t>
      </w:r>
    </w:p>
    <w:p w14:paraId="479528D8" w14:textId="77777777" w:rsidR="000C72BF" w:rsidRPr="0084739C" w:rsidRDefault="000C72BF" w:rsidP="00757562">
      <w:pPr>
        <w:pStyle w:val="Akapitzlist"/>
        <w:numPr>
          <w:ilvl w:val="0"/>
          <w:numId w:val="2"/>
        </w:numPr>
        <w:spacing w:after="200" w:line="360" w:lineRule="auto"/>
        <w:ind w:left="714" w:hanging="357"/>
        <w:contextualSpacing w:val="0"/>
        <w:jc w:val="both"/>
        <w:rPr>
          <w:rFonts w:eastAsia="Andale Sans UI" w:cstheme="minorHAnsi"/>
          <w:kern w:val="3"/>
          <w:sz w:val="24"/>
          <w:szCs w:val="24"/>
        </w:rPr>
      </w:pPr>
      <w:r w:rsidRPr="0084739C">
        <w:rPr>
          <w:rFonts w:eastAsia="Andale Sans UI" w:cstheme="minorHAnsi"/>
          <w:kern w:val="3"/>
          <w:sz w:val="24"/>
          <w:szCs w:val="24"/>
        </w:rPr>
        <w:t>legitymacja czynna do złożenia wniosku o wszczęcie postępowania działowego;</w:t>
      </w:r>
    </w:p>
    <w:p w14:paraId="404CBBAA" w14:textId="77777777" w:rsidR="000C72BF" w:rsidRPr="0084739C" w:rsidRDefault="000C72BF" w:rsidP="00757562">
      <w:pPr>
        <w:pStyle w:val="Akapitzlist"/>
        <w:numPr>
          <w:ilvl w:val="0"/>
          <w:numId w:val="2"/>
        </w:numPr>
        <w:spacing w:after="200" w:line="360" w:lineRule="auto"/>
        <w:ind w:left="714" w:hanging="357"/>
        <w:contextualSpacing w:val="0"/>
        <w:jc w:val="both"/>
        <w:rPr>
          <w:rFonts w:eastAsia="Andale Sans UI" w:cstheme="minorHAnsi"/>
          <w:kern w:val="3"/>
          <w:sz w:val="24"/>
          <w:szCs w:val="24"/>
        </w:rPr>
      </w:pPr>
      <w:r w:rsidRPr="0084739C">
        <w:rPr>
          <w:rFonts w:eastAsia="Andale Sans UI" w:cstheme="minorHAnsi"/>
          <w:kern w:val="3"/>
          <w:sz w:val="24"/>
          <w:szCs w:val="24"/>
        </w:rPr>
        <w:t>właściwość sądu;</w:t>
      </w:r>
    </w:p>
    <w:p w14:paraId="5AC84764" w14:textId="7CA50E09" w:rsidR="000C72BF" w:rsidRPr="0084739C" w:rsidRDefault="000C72BF" w:rsidP="00757562">
      <w:pPr>
        <w:pStyle w:val="Akapitzlist"/>
        <w:numPr>
          <w:ilvl w:val="0"/>
          <w:numId w:val="2"/>
        </w:numPr>
        <w:spacing w:after="200" w:line="360" w:lineRule="auto"/>
        <w:ind w:left="714" w:hanging="357"/>
        <w:contextualSpacing w:val="0"/>
        <w:jc w:val="both"/>
        <w:rPr>
          <w:rFonts w:eastAsia="Andale Sans UI" w:cstheme="minorHAnsi"/>
          <w:kern w:val="3"/>
          <w:sz w:val="24"/>
          <w:szCs w:val="24"/>
        </w:rPr>
      </w:pPr>
      <w:r w:rsidRPr="0084739C">
        <w:rPr>
          <w:rFonts w:eastAsia="Andale Sans UI" w:cstheme="minorHAnsi"/>
          <w:kern w:val="3"/>
          <w:sz w:val="24"/>
          <w:szCs w:val="24"/>
        </w:rPr>
        <w:t>wpływ toczącego się postępowania działowego na inne postępowania, zakres przedmiotowy spraw, o których mowa w art. 618 k.p.c.</w:t>
      </w:r>
    </w:p>
    <w:p w14:paraId="5067B0FA" w14:textId="6318649B" w:rsidR="000C72BF" w:rsidRPr="0084739C" w:rsidRDefault="000C72BF" w:rsidP="00757562">
      <w:pPr>
        <w:pStyle w:val="Akapitzlist"/>
        <w:numPr>
          <w:ilvl w:val="0"/>
          <w:numId w:val="2"/>
        </w:numPr>
        <w:spacing w:after="200" w:line="360" w:lineRule="auto"/>
        <w:ind w:left="714" w:hanging="357"/>
        <w:contextualSpacing w:val="0"/>
        <w:jc w:val="both"/>
        <w:rPr>
          <w:rFonts w:eastAsia="Andale Sans UI" w:cstheme="minorHAnsi"/>
          <w:kern w:val="3"/>
          <w:sz w:val="24"/>
          <w:szCs w:val="24"/>
        </w:rPr>
      </w:pPr>
      <w:r w:rsidRPr="0084739C">
        <w:rPr>
          <w:rFonts w:cstheme="minorHAnsi"/>
          <w:sz w:val="24"/>
          <w:szCs w:val="24"/>
        </w:rPr>
        <w:lastRenderedPageBreak/>
        <w:t>dopuszczalność wydania postanowienia wstępnego (art. 567 § 2 k.p.c., 618 § 1 k.p.c., art. 685 k.p.c., art. 11 ust. 2 ustawy o własności lokali)</w:t>
      </w:r>
    </w:p>
    <w:p w14:paraId="34FD4502" w14:textId="77777777" w:rsidR="000C72BF" w:rsidRPr="0084739C" w:rsidRDefault="000C72BF" w:rsidP="00757562">
      <w:pPr>
        <w:pStyle w:val="Akapitzlist"/>
        <w:numPr>
          <w:ilvl w:val="0"/>
          <w:numId w:val="2"/>
        </w:numPr>
        <w:spacing w:after="200" w:line="360" w:lineRule="auto"/>
        <w:ind w:left="720"/>
        <w:contextualSpacing w:val="0"/>
        <w:jc w:val="both"/>
        <w:rPr>
          <w:rFonts w:eastAsia="Andale Sans UI" w:cstheme="minorHAnsi"/>
          <w:kern w:val="3"/>
          <w:sz w:val="24"/>
          <w:szCs w:val="24"/>
        </w:rPr>
      </w:pPr>
      <w:r w:rsidRPr="0084739C">
        <w:rPr>
          <w:rFonts w:cstheme="minorHAnsi"/>
          <w:sz w:val="24"/>
          <w:szCs w:val="24"/>
        </w:rPr>
        <w:t>redakcja postanowienia kończącego postępowanie w sprawie, w tym w szczególności:</w:t>
      </w:r>
    </w:p>
    <w:p w14:paraId="734D1D90" w14:textId="77777777" w:rsidR="000C72BF" w:rsidRPr="0084739C" w:rsidRDefault="000C72BF" w:rsidP="00757562">
      <w:pPr>
        <w:pStyle w:val="Akapitzlist"/>
        <w:numPr>
          <w:ilvl w:val="0"/>
          <w:numId w:val="17"/>
        </w:numPr>
        <w:spacing w:after="0" w:line="360" w:lineRule="auto"/>
        <w:ind w:left="993" w:hanging="284"/>
        <w:contextualSpacing w:val="0"/>
        <w:jc w:val="both"/>
        <w:rPr>
          <w:rFonts w:eastAsia="Andale Sans UI" w:cstheme="minorHAnsi"/>
          <w:kern w:val="3"/>
          <w:sz w:val="24"/>
          <w:szCs w:val="24"/>
        </w:rPr>
      </w:pPr>
      <w:r w:rsidRPr="0084739C">
        <w:rPr>
          <w:rFonts w:eastAsia="Andale Sans UI" w:cstheme="minorHAnsi"/>
          <w:kern w:val="3"/>
          <w:sz w:val="24"/>
          <w:szCs w:val="24"/>
        </w:rPr>
        <w:t>opis przedmiotu współwłasności albo składników majątku wspólnego lub składników masy spadkowej oraz wskazanie ich wartości, wskazanie sposobu zniesienia współwłasności (podziału majątku wspólnego, działu spadku), przywołanie operatu (opinii biegłego) jako integralnej części orzeczenia,</w:t>
      </w:r>
    </w:p>
    <w:p w14:paraId="70741439" w14:textId="3770652B" w:rsidR="000C72BF" w:rsidRPr="0084739C" w:rsidRDefault="000C72BF" w:rsidP="00757562">
      <w:pPr>
        <w:pStyle w:val="Akapitzlist"/>
        <w:numPr>
          <w:ilvl w:val="0"/>
          <w:numId w:val="17"/>
        </w:numPr>
        <w:spacing w:after="0" w:line="360" w:lineRule="auto"/>
        <w:ind w:left="993" w:hanging="284"/>
        <w:contextualSpacing w:val="0"/>
        <w:jc w:val="both"/>
        <w:rPr>
          <w:rFonts w:eastAsia="Andale Sans UI" w:cstheme="minorHAnsi"/>
          <w:kern w:val="3"/>
          <w:sz w:val="24"/>
          <w:szCs w:val="24"/>
        </w:rPr>
      </w:pPr>
      <w:r w:rsidRPr="0084739C">
        <w:rPr>
          <w:rFonts w:eastAsia="Andale Sans UI" w:cstheme="minorHAnsi"/>
          <w:kern w:val="3"/>
          <w:sz w:val="24"/>
          <w:szCs w:val="24"/>
        </w:rPr>
        <w:t>orzekanie o wzajemnych roszczeniach związanych z posiadaniem poszczególnych składników majątkowych podlegających podziałowi w danym post</w:t>
      </w:r>
      <w:r w:rsidR="008C5163">
        <w:rPr>
          <w:rFonts w:eastAsia="Andale Sans UI" w:cstheme="minorHAnsi"/>
          <w:kern w:val="3"/>
          <w:sz w:val="24"/>
          <w:szCs w:val="24"/>
        </w:rPr>
        <w:t>ę</w:t>
      </w:r>
      <w:r w:rsidRPr="0084739C">
        <w:rPr>
          <w:rFonts w:eastAsia="Andale Sans UI" w:cstheme="minorHAnsi"/>
          <w:kern w:val="3"/>
          <w:sz w:val="24"/>
          <w:szCs w:val="24"/>
        </w:rPr>
        <w:t>powaniu,</w:t>
      </w:r>
    </w:p>
    <w:p w14:paraId="3038B2BD" w14:textId="6DE6018E" w:rsidR="000C72BF" w:rsidRPr="0084739C" w:rsidRDefault="000C72BF" w:rsidP="00757562">
      <w:pPr>
        <w:pStyle w:val="Akapitzlist"/>
        <w:numPr>
          <w:ilvl w:val="0"/>
          <w:numId w:val="17"/>
        </w:numPr>
        <w:spacing w:after="0" w:line="360" w:lineRule="auto"/>
        <w:ind w:left="993" w:hanging="284"/>
        <w:contextualSpacing w:val="0"/>
        <w:jc w:val="both"/>
        <w:rPr>
          <w:rFonts w:eastAsia="Andale Sans UI" w:cstheme="minorHAnsi"/>
          <w:kern w:val="3"/>
          <w:sz w:val="24"/>
          <w:szCs w:val="24"/>
        </w:rPr>
      </w:pPr>
      <w:r w:rsidRPr="0084739C">
        <w:rPr>
          <w:rFonts w:cstheme="minorHAnsi"/>
          <w:sz w:val="24"/>
          <w:szCs w:val="24"/>
        </w:rPr>
        <w:t>orzekanie o spłatach lub dopłatach (wysokość, termin płatności, odsetki w razie opóźnienia w zapłacie)</w:t>
      </w:r>
    </w:p>
    <w:p w14:paraId="0A2DC305" w14:textId="77777777" w:rsidR="000C72BF" w:rsidRPr="0084739C" w:rsidRDefault="000C72BF" w:rsidP="00757562">
      <w:pPr>
        <w:pStyle w:val="Akapitzlist"/>
        <w:numPr>
          <w:ilvl w:val="0"/>
          <w:numId w:val="17"/>
        </w:numPr>
        <w:spacing w:after="200" w:line="360" w:lineRule="auto"/>
        <w:ind w:left="993" w:hanging="284"/>
        <w:contextualSpacing w:val="0"/>
        <w:jc w:val="both"/>
        <w:rPr>
          <w:rFonts w:eastAsia="Andale Sans UI" w:cstheme="minorHAnsi"/>
          <w:kern w:val="3"/>
          <w:sz w:val="24"/>
          <w:szCs w:val="24"/>
        </w:rPr>
      </w:pPr>
      <w:r w:rsidRPr="0084739C">
        <w:rPr>
          <w:rFonts w:cstheme="minorHAnsi"/>
          <w:sz w:val="24"/>
          <w:szCs w:val="24"/>
        </w:rPr>
        <w:t>orzekanie o wydaniu rzeczy przyznanej uczestnikowi, który nią nie włada.</w:t>
      </w:r>
    </w:p>
    <w:p w14:paraId="5AB0EDE8" w14:textId="77777777" w:rsidR="008C5163" w:rsidRDefault="000C72BF" w:rsidP="00757562">
      <w:pPr>
        <w:spacing w:after="200" w:line="360" w:lineRule="auto"/>
        <w:ind w:left="357" w:firstLine="697"/>
        <w:jc w:val="both"/>
        <w:rPr>
          <w:rFonts w:cstheme="minorHAnsi"/>
          <w:sz w:val="24"/>
          <w:szCs w:val="24"/>
        </w:rPr>
      </w:pPr>
      <w:r w:rsidRPr="0084739C">
        <w:rPr>
          <w:rFonts w:cstheme="minorHAnsi"/>
          <w:sz w:val="24"/>
          <w:szCs w:val="24"/>
        </w:rPr>
        <w:t xml:space="preserve">Szczególną uwagę należy poświęcić zagadnieniom procesowych i technicznych aspektów </w:t>
      </w:r>
      <w:r w:rsidRPr="0084739C">
        <w:rPr>
          <w:rFonts w:cstheme="minorHAnsi"/>
          <w:b/>
          <w:sz w:val="24"/>
          <w:szCs w:val="24"/>
        </w:rPr>
        <w:t>postępowania dowodowego w sprawach działowych</w:t>
      </w:r>
      <w:r w:rsidRPr="0084739C">
        <w:rPr>
          <w:rFonts w:cstheme="minorHAnsi"/>
          <w:sz w:val="24"/>
          <w:szCs w:val="24"/>
        </w:rPr>
        <w:t>, z uwzględnieniem sposobu redagowania postanowień dopuszczających</w:t>
      </w:r>
      <w:r w:rsidR="008C5163">
        <w:rPr>
          <w:rFonts w:cstheme="minorHAnsi"/>
          <w:sz w:val="24"/>
          <w:szCs w:val="24"/>
        </w:rPr>
        <w:t>:</w:t>
      </w:r>
    </w:p>
    <w:p w14:paraId="51670E72" w14:textId="77777777" w:rsidR="008C5163" w:rsidRDefault="000C72BF" w:rsidP="008C5163">
      <w:pPr>
        <w:pStyle w:val="Akapitzlist"/>
        <w:numPr>
          <w:ilvl w:val="0"/>
          <w:numId w:val="20"/>
        </w:numPr>
        <w:spacing w:after="200" w:line="360" w:lineRule="auto"/>
        <w:jc w:val="both"/>
        <w:rPr>
          <w:rFonts w:cstheme="minorHAnsi"/>
          <w:sz w:val="24"/>
          <w:szCs w:val="24"/>
        </w:rPr>
      </w:pPr>
      <w:r w:rsidRPr="008C5163">
        <w:rPr>
          <w:rFonts w:cstheme="minorHAnsi"/>
          <w:sz w:val="24"/>
          <w:szCs w:val="24"/>
        </w:rPr>
        <w:t>dowód z opinii biegłego geodety w celu sporządzenia mapy z</w:t>
      </w:r>
      <w:r w:rsidR="00545E0F" w:rsidRPr="008C5163">
        <w:rPr>
          <w:rFonts w:cstheme="minorHAnsi"/>
          <w:sz w:val="24"/>
          <w:szCs w:val="24"/>
        </w:rPr>
        <w:t xml:space="preserve"> </w:t>
      </w:r>
      <w:r w:rsidRPr="008C5163">
        <w:rPr>
          <w:rFonts w:cstheme="minorHAnsi"/>
          <w:sz w:val="24"/>
          <w:szCs w:val="24"/>
        </w:rPr>
        <w:t>projektowanym sposobem podziału nieruchomości,</w:t>
      </w:r>
    </w:p>
    <w:p w14:paraId="4322EF32" w14:textId="3528B89B" w:rsidR="008C5163" w:rsidRDefault="000C72BF" w:rsidP="008C5163">
      <w:pPr>
        <w:pStyle w:val="Akapitzlist"/>
        <w:numPr>
          <w:ilvl w:val="0"/>
          <w:numId w:val="20"/>
        </w:numPr>
        <w:spacing w:after="200" w:line="360" w:lineRule="auto"/>
        <w:jc w:val="both"/>
        <w:rPr>
          <w:rFonts w:cstheme="minorHAnsi"/>
          <w:sz w:val="24"/>
          <w:szCs w:val="24"/>
        </w:rPr>
      </w:pPr>
      <w:r w:rsidRPr="008C5163">
        <w:rPr>
          <w:rFonts w:cstheme="minorHAnsi"/>
          <w:sz w:val="24"/>
          <w:szCs w:val="24"/>
        </w:rPr>
        <w:t>dow</w:t>
      </w:r>
      <w:r w:rsidR="008C5163">
        <w:rPr>
          <w:rFonts w:cstheme="minorHAnsi"/>
          <w:sz w:val="24"/>
          <w:szCs w:val="24"/>
        </w:rPr>
        <w:t>ó</w:t>
      </w:r>
      <w:r w:rsidRPr="008C5163">
        <w:rPr>
          <w:rFonts w:cstheme="minorHAnsi"/>
          <w:sz w:val="24"/>
          <w:szCs w:val="24"/>
        </w:rPr>
        <w:t xml:space="preserve">d z opinii biegłego </w:t>
      </w:r>
      <w:r w:rsidR="00280296" w:rsidRPr="0084739C">
        <w:rPr>
          <w:rFonts w:cstheme="minorHAnsi"/>
          <w:sz w:val="24"/>
          <w:szCs w:val="24"/>
        </w:rPr>
        <w:t>ds. architektoniczno – budowlanych</w:t>
      </w:r>
      <w:r w:rsidR="008C5163">
        <w:rPr>
          <w:rFonts w:cstheme="minorHAnsi"/>
          <w:sz w:val="24"/>
          <w:szCs w:val="24"/>
        </w:rPr>
        <w:t xml:space="preserve"> </w:t>
      </w:r>
      <w:r w:rsidRPr="008C5163">
        <w:rPr>
          <w:rFonts w:cstheme="minorHAnsi"/>
          <w:sz w:val="24"/>
          <w:szCs w:val="24"/>
        </w:rPr>
        <w:t>w celu sporządzenia inwentaryzacji budynku oraz projektu wyodrębnienia samodzielnych lokali mieszkalnych w budynku wielomieszkaniowym</w:t>
      </w:r>
      <w:r w:rsidR="008C5163">
        <w:rPr>
          <w:rFonts w:cstheme="minorHAnsi"/>
          <w:sz w:val="24"/>
          <w:szCs w:val="24"/>
        </w:rPr>
        <w:t>,</w:t>
      </w:r>
    </w:p>
    <w:p w14:paraId="352AEBCD" w14:textId="1A367240" w:rsidR="000C72BF" w:rsidRPr="008C5163" w:rsidRDefault="008C5163" w:rsidP="008C5163">
      <w:pPr>
        <w:pStyle w:val="Akapitzlist"/>
        <w:numPr>
          <w:ilvl w:val="0"/>
          <w:numId w:val="20"/>
        </w:numPr>
        <w:spacing w:after="200" w:line="360" w:lineRule="auto"/>
        <w:jc w:val="both"/>
        <w:rPr>
          <w:rFonts w:cstheme="minorHAnsi"/>
          <w:sz w:val="24"/>
          <w:szCs w:val="24"/>
        </w:rPr>
      </w:pPr>
      <w:r w:rsidRPr="008C5163">
        <w:rPr>
          <w:rFonts w:cstheme="minorHAnsi"/>
          <w:sz w:val="24"/>
          <w:szCs w:val="24"/>
        </w:rPr>
        <w:t>dowód</w:t>
      </w:r>
      <w:r w:rsidR="000C72BF" w:rsidRPr="008C5163">
        <w:rPr>
          <w:rFonts w:cstheme="minorHAnsi"/>
          <w:sz w:val="24"/>
          <w:szCs w:val="24"/>
        </w:rPr>
        <w:t xml:space="preserve"> z opinii biegłego rzeczoznawcy majątkowego na okoliczność wyceny poszczególnych składników masy majątkowej podlegającej podziałowi w danym postępowaniu, jak również określenia wartości podlegających rozliczeniu w tym postępowaniu nakładów i wydatków.</w:t>
      </w:r>
    </w:p>
    <w:p w14:paraId="4AA4F761" w14:textId="28742E7C" w:rsidR="000C72BF" w:rsidRPr="0084739C" w:rsidRDefault="000C72BF" w:rsidP="00757562">
      <w:pPr>
        <w:spacing w:after="200" w:line="360" w:lineRule="auto"/>
        <w:ind w:left="357" w:firstLine="697"/>
        <w:jc w:val="both"/>
        <w:rPr>
          <w:rFonts w:cstheme="minorHAnsi"/>
          <w:sz w:val="24"/>
          <w:szCs w:val="24"/>
        </w:rPr>
      </w:pPr>
      <w:r w:rsidRPr="0084739C">
        <w:rPr>
          <w:rFonts w:cstheme="minorHAnsi"/>
          <w:sz w:val="24"/>
          <w:szCs w:val="24"/>
        </w:rPr>
        <w:t>Ponadto, w sprawach o podział majątku wspólnego i dział spadku należy zapoznać aplikantów z metodyką podejmowania przez sąd (przewodniczącego) czynności zmierzających do ustalenia pełnego składu majątku wspólnego lub spadku, w</w:t>
      </w:r>
      <w:r w:rsidR="00977FF6">
        <w:rPr>
          <w:rFonts w:cstheme="minorHAnsi"/>
          <w:sz w:val="24"/>
          <w:szCs w:val="24"/>
        </w:rPr>
        <w:t> </w:t>
      </w:r>
      <w:r w:rsidRPr="0084739C">
        <w:rPr>
          <w:rFonts w:cstheme="minorHAnsi"/>
          <w:sz w:val="24"/>
          <w:szCs w:val="24"/>
        </w:rPr>
        <w:t xml:space="preserve">szczególności poprawnym redagowaniem zarządzeń i pism sądowych zawierających </w:t>
      </w:r>
      <w:r w:rsidRPr="0084739C">
        <w:rPr>
          <w:rFonts w:cstheme="minorHAnsi"/>
          <w:sz w:val="24"/>
          <w:szCs w:val="24"/>
        </w:rPr>
        <w:lastRenderedPageBreak/>
        <w:t>wezwanie do udzielenia stosownych informacji w tym zakresie, kierowanych np. do banków, towarzystw funduszy inwestycyjnych, domów maklerskich</w:t>
      </w:r>
      <w:r w:rsidR="00280296">
        <w:rPr>
          <w:rFonts w:cstheme="minorHAnsi"/>
          <w:sz w:val="24"/>
          <w:szCs w:val="24"/>
        </w:rPr>
        <w:t>,</w:t>
      </w:r>
      <w:r w:rsidRPr="0084739C">
        <w:rPr>
          <w:rFonts w:cstheme="minorHAnsi"/>
          <w:sz w:val="24"/>
          <w:szCs w:val="24"/>
        </w:rPr>
        <w:t xml:space="preserve"> itp.</w:t>
      </w:r>
    </w:p>
    <w:p w14:paraId="514074DA" w14:textId="5419AC15" w:rsidR="002834BA" w:rsidRPr="00800393" w:rsidRDefault="002834BA" w:rsidP="00757562">
      <w:pPr>
        <w:spacing w:after="200" w:line="360" w:lineRule="auto"/>
        <w:ind w:firstLine="709"/>
        <w:jc w:val="both"/>
        <w:rPr>
          <w:rFonts w:cstheme="minorHAnsi"/>
          <w:b/>
          <w:sz w:val="23"/>
          <w:szCs w:val="23"/>
          <w:u w:val="single"/>
        </w:rPr>
      </w:pPr>
      <w:r w:rsidRPr="00800393">
        <w:rPr>
          <w:rFonts w:cstheme="minorHAnsi"/>
          <w:b/>
          <w:sz w:val="23"/>
          <w:szCs w:val="23"/>
          <w:u w:val="single"/>
        </w:rPr>
        <w:t>Czynności, które powinny zostać zlecone aplikantowi w trakcie praktyki (czynności obowiązkowe):</w:t>
      </w:r>
    </w:p>
    <w:p w14:paraId="04853487" w14:textId="44A5898B" w:rsidR="000C72BF" w:rsidRPr="00800393" w:rsidRDefault="000C72BF" w:rsidP="00757562">
      <w:pPr>
        <w:pStyle w:val="Akapitzlist"/>
        <w:numPr>
          <w:ilvl w:val="3"/>
          <w:numId w:val="2"/>
        </w:numPr>
        <w:spacing w:after="200" w:line="360" w:lineRule="auto"/>
        <w:ind w:left="714" w:hanging="357"/>
        <w:contextualSpacing w:val="0"/>
        <w:jc w:val="both"/>
        <w:rPr>
          <w:rFonts w:eastAsia="Times New Roman" w:cstheme="minorHAnsi"/>
          <w:sz w:val="23"/>
          <w:szCs w:val="23"/>
        </w:rPr>
      </w:pPr>
      <w:r w:rsidRPr="00800393">
        <w:rPr>
          <w:rFonts w:cstheme="minorHAnsi"/>
          <w:sz w:val="23"/>
          <w:szCs w:val="23"/>
        </w:rPr>
        <w:t>sporządzenie co najmniej jednego projektu orzeczenia końcowego wraz z uzasadnieniem</w:t>
      </w:r>
      <w:r w:rsidRPr="00800393">
        <w:rPr>
          <w:rFonts w:eastAsia="Times New Roman" w:cstheme="minorHAnsi"/>
          <w:sz w:val="23"/>
          <w:szCs w:val="23"/>
        </w:rPr>
        <w:t>:</w:t>
      </w:r>
    </w:p>
    <w:p w14:paraId="053CCA21" w14:textId="5D8E847B" w:rsidR="000C72BF" w:rsidRPr="00800393" w:rsidRDefault="000C72BF" w:rsidP="00757562">
      <w:pPr>
        <w:pStyle w:val="Teksttreci60"/>
        <w:numPr>
          <w:ilvl w:val="0"/>
          <w:numId w:val="18"/>
        </w:numPr>
        <w:shd w:val="clear" w:color="auto" w:fill="auto"/>
        <w:tabs>
          <w:tab w:val="left" w:leader="dot" w:pos="3810"/>
        </w:tabs>
        <w:spacing w:line="360" w:lineRule="auto"/>
        <w:ind w:left="993" w:hanging="284"/>
        <w:jc w:val="both"/>
        <w:rPr>
          <w:rFonts w:asciiTheme="minorHAnsi" w:hAnsiTheme="minorHAnsi" w:cstheme="minorHAnsi"/>
          <w:b/>
        </w:rPr>
      </w:pPr>
      <w:r w:rsidRPr="00800393">
        <w:rPr>
          <w:rFonts w:asciiTheme="minorHAnsi" w:hAnsiTheme="minorHAnsi" w:cstheme="minorHAnsi"/>
        </w:rPr>
        <w:t>w sprawie o zniesienie współwłasności nieruchomości poprzez jej fizyczny podział albo poprzez ustanowienie odrębnej własności lokali,</w:t>
      </w:r>
    </w:p>
    <w:p w14:paraId="0823187A" w14:textId="7CEA2E5F" w:rsidR="000C72BF" w:rsidRPr="00800393" w:rsidRDefault="000C72BF" w:rsidP="00757562">
      <w:pPr>
        <w:pStyle w:val="Teksttreci60"/>
        <w:numPr>
          <w:ilvl w:val="0"/>
          <w:numId w:val="18"/>
        </w:numPr>
        <w:shd w:val="clear" w:color="auto" w:fill="auto"/>
        <w:tabs>
          <w:tab w:val="left" w:leader="dot" w:pos="3810"/>
        </w:tabs>
        <w:spacing w:line="360" w:lineRule="auto"/>
        <w:ind w:left="993" w:hanging="284"/>
        <w:jc w:val="both"/>
        <w:rPr>
          <w:rFonts w:asciiTheme="minorHAnsi" w:hAnsiTheme="minorHAnsi" w:cstheme="minorHAnsi"/>
          <w:b/>
        </w:rPr>
      </w:pPr>
      <w:r w:rsidRPr="00800393">
        <w:rPr>
          <w:rFonts w:asciiTheme="minorHAnsi" w:hAnsiTheme="minorHAnsi" w:cstheme="minorHAnsi"/>
        </w:rPr>
        <w:t>w sprawie o podział majątku wspólnego,</w:t>
      </w:r>
    </w:p>
    <w:p w14:paraId="456EB48C" w14:textId="4A86B442" w:rsidR="000C72BF" w:rsidRPr="00800393" w:rsidRDefault="000C72BF" w:rsidP="00757562">
      <w:pPr>
        <w:pStyle w:val="Teksttreci60"/>
        <w:numPr>
          <w:ilvl w:val="0"/>
          <w:numId w:val="18"/>
        </w:numPr>
        <w:shd w:val="clear" w:color="auto" w:fill="auto"/>
        <w:tabs>
          <w:tab w:val="left" w:leader="dot" w:pos="3810"/>
        </w:tabs>
        <w:spacing w:after="200" w:line="360" w:lineRule="auto"/>
        <w:ind w:left="993" w:hanging="284"/>
        <w:jc w:val="both"/>
        <w:rPr>
          <w:rFonts w:asciiTheme="minorHAnsi" w:hAnsiTheme="minorHAnsi" w:cstheme="minorHAnsi"/>
          <w:b/>
        </w:rPr>
      </w:pPr>
      <w:r w:rsidRPr="00800393">
        <w:rPr>
          <w:rFonts w:asciiTheme="minorHAnsi" w:hAnsiTheme="minorHAnsi" w:cstheme="minorHAnsi"/>
        </w:rPr>
        <w:t>w sprawie o dział spadku;</w:t>
      </w:r>
    </w:p>
    <w:p w14:paraId="4311297D" w14:textId="12223059" w:rsidR="000C72BF" w:rsidRPr="00800393" w:rsidRDefault="000C72BF" w:rsidP="00757562">
      <w:pPr>
        <w:pStyle w:val="Akapitzlist"/>
        <w:numPr>
          <w:ilvl w:val="3"/>
          <w:numId w:val="2"/>
        </w:numPr>
        <w:spacing w:after="200" w:line="360" w:lineRule="auto"/>
        <w:ind w:left="714" w:hanging="357"/>
        <w:contextualSpacing w:val="0"/>
        <w:jc w:val="both"/>
        <w:rPr>
          <w:rFonts w:cstheme="minorHAnsi"/>
          <w:sz w:val="23"/>
          <w:szCs w:val="23"/>
        </w:rPr>
      </w:pPr>
      <w:r w:rsidRPr="00800393">
        <w:rPr>
          <w:rFonts w:cstheme="minorHAnsi"/>
          <w:sz w:val="23"/>
          <w:szCs w:val="23"/>
        </w:rPr>
        <w:t>sporządzenie projektów postanowienia dowodowego wraz z odpowiednimi zarządzeniami:</w:t>
      </w:r>
    </w:p>
    <w:p w14:paraId="047176F5" w14:textId="77777777" w:rsidR="000C72BF" w:rsidRPr="00800393" w:rsidRDefault="000C72BF" w:rsidP="00757562">
      <w:pPr>
        <w:pStyle w:val="Teksttreci60"/>
        <w:numPr>
          <w:ilvl w:val="0"/>
          <w:numId w:val="19"/>
        </w:numPr>
        <w:shd w:val="clear" w:color="auto" w:fill="auto"/>
        <w:tabs>
          <w:tab w:val="left" w:leader="dot" w:pos="3810"/>
        </w:tabs>
        <w:spacing w:line="360" w:lineRule="auto"/>
        <w:ind w:left="993" w:hanging="284"/>
        <w:jc w:val="both"/>
        <w:rPr>
          <w:rFonts w:asciiTheme="minorHAnsi" w:hAnsiTheme="minorHAnsi" w:cstheme="minorHAnsi"/>
        </w:rPr>
      </w:pPr>
      <w:r w:rsidRPr="00800393">
        <w:rPr>
          <w:rFonts w:asciiTheme="minorHAnsi" w:hAnsiTheme="minorHAnsi" w:cstheme="minorHAnsi"/>
        </w:rPr>
        <w:t>o dopuszczeniu dowodu z opinii biegłego geodety w celu sporządzenia mapy z projektem podziału nieruchomości,</w:t>
      </w:r>
    </w:p>
    <w:p w14:paraId="0FED409E" w14:textId="438E5E33" w:rsidR="000C72BF" w:rsidRPr="00800393" w:rsidRDefault="000C72BF" w:rsidP="00757562">
      <w:pPr>
        <w:pStyle w:val="Teksttreci60"/>
        <w:numPr>
          <w:ilvl w:val="0"/>
          <w:numId w:val="19"/>
        </w:numPr>
        <w:shd w:val="clear" w:color="auto" w:fill="auto"/>
        <w:tabs>
          <w:tab w:val="left" w:leader="dot" w:pos="3810"/>
        </w:tabs>
        <w:spacing w:line="360" w:lineRule="auto"/>
        <w:ind w:left="993" w:hanging="284"/>
        <w:jc w:val="both"/>
        <w:rPr>
          <w:rFonts w:asciiTheme="minorHAnsi" w:hAnsiTheme="minorHAnsi" w:cstheme="minorHAnsi"/>
        </w:rPr>
      </w:pPr>
      <w:r w:rsidRPr="00800393">
        <w:rPr>
          <w:rFonts w:asciiTheme="minorHAnsi" w:hAnsiTheme="minorHAnsi" w:cstheme="minorHAnsi"/>
        </w:rPr>
        <w:t>o dopuszczeniu dowodu z opinii biegłego rzeczoznawcy majątkowego na</w:t>
      </w:r>
      <w:r w:rsidR="00545E0F" w:rsidRPr="00800393">
        <w:rPr>
          <w:rFonts w:asciiTheme="minorHAnsi" w:hAnsiTheme="minorHAnsi" w:cstheme="minorHAnsi"/>
        </w:rPr>
        <w:t> </w:t>
      </w:r>
      <w:r w:rsidRPr="00800393">
        <w:rPr>
          <w:rFonts w:asciiTheme="minorHAnsi" w:hAnsiTheme="minorHAnsi" w:cstheme="minorHAnsi"/>
        </w:rPr>
        <w:t>okoliczność wartości przedmiotu współwłasności (składników majątku wspólnego lub masy spadkowej) oraz – ewentualnie – nakładów lub wydatków podlegających rozliczeniu w danym postępowaniu,</w:t>
      </w:r>
    </w:p>
    <w:p w14:paraId="1BD495F0" w14:textId="49936589" w:rsidR="000C72BF" w:rsidRPr="00800393" w:rsidRDefault="000C72BF" w:rsidP="00757562">
      <w:pPr>
        <w:pStyle w:val="Teksttreci60"/>
        <w:numPr>
          <w:ilvl w:val="0"/>
          <w:numId w:val="19"/>
        </w:numPr>
        <w:shd w:val="clear" w:color="auto" w:fill="auto"/>
        <w:tabs>
          <w:tab w:val="left" w:leader="dot" w:pos="3810"/>
        </w:tabs>
        <w:spacing w:after="200" w:line="360" w:lineRule="auto"/>
        <w:ind w:left="993" w:hanging="284"/>
        <w:jc w:val="both"/>
        <w:rPr>
          <w:rFonts w:asciiTheme="minorHAnsi" w:hAnsiTheme="minorHAnsi" w:cstheme="minorHAnsi"/>
        </w:rPr>
      </w:pPr>
      <w:r w:rsidRPr="00800393">
        <w:rPr>
          <w:rFonts w:asciiTheme="minorHAnsi" w:hAnsiTheme="minorHAnsi" w:cstheme="minorHAnsi"/>
        </w:rPr>
        <w:t>o dopuszczeniu dowodu z opinii biegłego ds. architektoniczno – budowlanych na</w:t>
      </w:r>
      <w:r w:rsidR="00977FF6" w:rsidRPr="00800393">
        <w:rPr>
          <w:rFonts w:asciiTheme="minorHAnsi" w:hAnsiTheme="minorHAnsi" w:cstheme="minorHAnsi"/>
        </w:rPr>
        <w:t> </w:t>
      </w:r>
      <w:r w:rsidRPr="00800393">
        <w:rPr>
          <w:rFonts w:asciiTheme="minorHAnsi" w:hAnsiTheme="minorHAnsi" w:cstheme="minorHAnsi"/>
        </w:rPr>
        <w:t>okoliczność możliwości zniesienia współwłasności nieruchomości zabudowanej budynkiem poprzez jego podział fizyczny albo ustanowienie odrębnej własności lokali, bądź też w celu określenia zakresu robót adaptacyjnych koniecznych do przystosowania lokalu (lokali) do wymogów samodzielności.</w:t>
      </w:r>
    </w:p>
    <w:p w14:paraId="33CD405F" w14:textId="642B3AED" w:rsidR="00800393" w:rsidRPr="00800393" w:rsidRDefault="00935C18" w:rsidP="00800393">
      <w:pPr>
        <w:tabs>
          <w:tab w:val="left" w:pos="720"/>
        </w:tabs>
        <w:spacing w:after="200" w:line="360" w:lineRule="auto"/>
        <w:ind w:firstLine="720"/>
        <w:jc w:val="both"/>
        <w:rPr>
          <w:sz w:val="23"/>
          <w:szCs w:val="23"/>
        </w:rPr>
      </w:pPr>
      <w:r w:rsidRPr="00800393">
        <w:rPr>
          <w:sz w:val="23"/>
          <w:szCs w:val="23"/>
        </w:rPr>
        <w:t xml:space="preserve">Ponadto informuję, że przedmiotem sprawdzianu, który aplikanci będą pisać po zakończeniu praktyki, będzie </w:t>
      </w:r>
      <w:r w:rsidRPr="00800393">
        <w:rPr>
          <w:b/>
          <w:sz w:val="23"/>
          <w:szCs w:val="23"/>
        </w:rPr>
        <w:t>sporządzenie projektu postanowienia w sprawie działowej</w:t>
      </w:r>
      <w:r w:rsidRPr="00800393">
        <w:rPr>
          <w:sz w:val="23"/>
          <w:szCs w:val="23"/>
        </w:rPr>
        <w:t xml:space="preserve"> wraz z uzasadnieniem. Tak więc koniecznym jest zwrócenie szczególnej uwagi na nabycie przez aplikantów umiejętności samodzielnego opracowywania projektów orzeczeń wraz z uzasadnieniem w tego rodzaju sprawach.</w:t>
      </w:r>
    </w:p>
    <w:p w14:paraId="18D44E8C" w14:textId="77777777" w:rsidR="00935C18" w:rsidRPr="00800393" w:rsidRDefault="00935C18" w:rsidP="0067750E">
      <w:pPr>
        <w:pStyle w:val="Akapitzlist"/>
        <w:spacing w:after="0" w:line="360" w:lineRule="auto"/>
        <w:ind w:left="3631" w:firstLine="617"/>
        <w:contextualSpacing w:val="0"/>
        <w:rPr>
          <w:rFonts w:eastAsia="Calibri"/>
          <w:sz w:val="23"/>
          <w:szCs w:val="23"/>
        </w:rPr>
      </w:pPr>
      <w:r w:rsidRPr="00800393">
        <w:rPr>
          <w:rFonts w:eastAsia="Calibri"/>
          <w:sz w:val="23"/>
          <w:szCs w:val="23"/>
        </w:rPr>
        <w:t>Kierownik Działu Dydaktycznego OAS</w:t>
      </w:r>
    </w:p>
    <w:p w14:paraId="23D61FEA" w14:textId="77777777" w:rsidR="00935C18" w:rsidRPr="00800393" w:rsidRDefault="00935C18" w:rsidP="0067750E">
      <w:pPr>
        <w:pStyle w:val="Akapitzlist"/>
        <w:spacing w:after="0" w:line="360" w:lineRule="auto"/>
        <w:ind w:left="4339" w:firstLine="617"/>
        <w:contextualSpacing w:val="0"/>
        <w:rPr>
          <w:rFonts w:eastAsia="Calibri"/>
          <w:sz w:val="23"/>
          <w:szCs w:val="23"/>
        </w:rPr>
      </w:pPr>
      <w:r w:rsidRPr="00800393">
        <w:rPr>
          <w:rFonts w:eastAsia="Calibri"/>
          <w:sz w:val="23"/>
          <w:szCs w:val="23"/>
        </w:rPr>
        <w:t>Magdalena Nagaduś</w:t>
      </w:r>
    </w:p>
    <w:p w14:paraId="36AB1AB4" w14:textId="646F2F07" w:rsidR="00935C18" w:rsidRPr="00800393" w:rsidRDefault="00935C18" w:rsidP="0067750E">
      <w:pPr>
        <w:pStyle w:val="Akapitzlist"/>
        <w:spacing w:after="200" w:line="336" w:lineRule="auto"/>
        <w:ind w:left="5047" w:firstLine="617"/>
        <w:contextualSpacing w:val="0"/>
        <w:rPr>
          <w:rFonts w:cstheme="minorHAnsi"/>
          <w:sz w:val="23"/>
          <w:szCs w:val="23"/>
        </w:rPr>
      </w:pPr>
      <w:r w:rsidRPr="00800393">
        <w:rPr>
          <w:rFonts w:eastAsia="Calibri"/>
          <w:sz w:val="23"/>
          <w:szCs w:val="23"/>
        </w:rPr>
        <w:t>sędzia</w:t>
      </w:r>
    </w:p>
    <w:sectPr w:rsidR="00935C18" w:rsidRPr="0080039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AFDC0" w14:textId="77777777" w:rsidR="005B629B" w:rsidRDefault="005B629B" w:rsidP="007A3737">
      <w:pPr>
        <w:spacing w:after="0" w:line="240" w:lineRule="auto"/>
      </w:pPr>
      <w:r>
        <w:separator/>
      </w:r>
    </w:p>
  </w:endnote>
  <w:endnote w:type="continuationSeparator" w:id="0">
    <w:p w14:paraId="2AD26353" w14:textId="77777777" w:rsidR="005B629B" w:rsidRDefault="005B629B" w:rsidP="007A3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Bold">
    <w:altName w:val="Calibri"/>
    <w:panose1 w:val="00000000000000000000"/>
    <w:charset w:val="EE"/>
    <w:family w:val="auto"/>
    <w:notTrueType/>
    <w:pitch w:val="default"/>
    <w:sig w:usb0="00000005" w:usb1="00000000" w:usb2="00000000" w:usb3="00000000" w:csb0="00000002" w:csb1="00000000"/>
  </w:font>
  <w:font w:name="Andale Sans UI">
    <w:altName w:val="Calibri"/>
    <w:charset w:val="EE"/>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318075"/>
      <w:docPartObj>
        <w:docPartGallery w:val="Page Numbers (Bottom of Page)"/>
        <w:docPartUnique/>
      </w:docPartObj>
    </w:sdtPr>
    <w:sdtEndPr/>
    <w:sdtContent>
      <w:p w14:paraId="010662F6" w14:textId="1D3C5BCA" w:rsidR="007A3737" w:rsidRDefault="007A3737" w:rsidP="004962B2">
        <w:pPr>
          <w:pStyle w:val="Stopka"/>
          <w:jc w:val="center"/>
        </w:pPr>
        <w:r>
          <w:fldChar w:fldCharType="begin"/>
        </w:r>
        <w:r>
          <w:instrText>PAGE   \* MERGEFORMAT</w:instrText>
        </w:r>
        <w:r>
          <w:fldChar w:fldCharType="separate"/>
        </w:r>
        <w:r w:rsidR="001853A9">
          <w:rPr>
            <w:noProof/>
          </w:rPr>
          <w:t>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84FC4" w14:textId="77777777" w:rsidR="005B629B" w:rsidRDefault="005B629B" w:rsidP="007A3737">
      <w:pPr>
        <w:spacing w:after="0" w:line="240" w:lineRule="auto"/>
      </w:pPr>
      <w:r>
        <w:separator/>
      </w:r>
    </w:p>
  </w:footnote>
  <w:footnote w:type="continuationSeparator" w:id="0">
    <w:p w14:paraId="0EE7D223" w14:textId="77777777" w:rsidR="005B629B" w:rsidRDefault="005B629B" w:rsidP="007A37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A6BBD"/>
    <w:multiLevelType w:val="hybridMultilevel"/>
    <w:tmpl w:val="B23C3356"/>
    <w:lvl w:ilvl="0" w:tplc="DC5E9A46">
      <w:start w:val="1"/>
      <w:numFmt w:val="lowerLetter"/>
      <w:lvlText w:val="%1)"/>
      <w:lvlJc w:val="left"/>
      <w:pPr>
        <w:ind w:left="799" w:hanging="360"/>
      </w:pPr>
      <w:rPr>
        <w:b/>
      </w:rPr>
    </w:lvl>
    <w:lvl w:ilvl="1" w:tplc="04150019" w:tentative="1">
      <w:start w:val="1"/>
      <w:numFmt w:val="lowerLetter"/>
      <w:lvlText w:val="%2."/>
      <w:lvlJc w:val="left"/>
      <w:pPr>
        <w:ind w:left="1519" w:hanging="360"/>
      </w:pPr>
    </w:lvl>
    <w:lvl w:ilvl="2" w:tplc="0415001B" w:tentative="1">
      <w:start w:val="1"/>
      <w:numFmt w:val="lowerRoman"/>
      <w:lvlText w:val="%3."/>
      <w:lvlJc w:val="right"/>
      <w:pPr>
        <w:ind w:left="2239" w:hanging="180"/>
      </w:pPr>
    </w:lvl>
    <w:lvl w:ilvl="3" w:tplc="0415000F" w:tentative="1">
      <w:start w:val="1"/>
      <w:numFmt w:val="decimal"/>
      <w:lvlText w:val="%4."/>
      <w:lvlJc w:val="left"/>
      <w:pPr>
        <w:ind w:left="2959" w:hanging="360"/>
      </w:pPr>
    </w:lvl>
    <w:lvl w:ilvl="4" w:tplc="04150019" w:tentative="1">
      <w:start w:val="1"/>
      <w:numFmt w:val="lowerLetter"/>
      <w:lvlText w:val="%5."/>
      <w:lvlJc w:val="left"/>
      <w:pPr>
        <w:ind w:left="3679" w:hanging="360"/>
      </w:pPr>
    </w:lvl>
    <w:lvl w:ilvl="5" w:tplc="0415001B" w:tentative="1">
      <w:start w:val="1"/>
      <w:numFmt w:val="lowerRoman"/>
      <w:lvlText w:val="%6."/>
      <w:lvlJc w:val="right"/>
      <w:pPr>
        <w:ind w:left="4399" w:hanging="180"/>
      </w:pPr>
    </w:lvl>
    <w:lvl w:ilvl="6" w:tplc="0415000F" w:tentative="1">
      <w:start w:val="1"/>
      <w:numFmt w:val="decimal"/>
      <w:lvlText w:val="%7."/>
      <w:lvlJc w:val="left"/>
      <w:pPr>
        <w:ind w:left="5119" w:hanging="360"/>
      </w:pPr>
    </w:lvl>
    <w:lvl w:ilvl="7" w:tplc="04150019" w:tentative="1">
      <w:start w:val="1"/>
      <w:numFmt w:val="lowerLetter"/>
      <w:lvlText w:val="%8."/>
      <w:lvlJc w:val="left"/>
      <w:pPr>
        <w:ind w:left="5839" w:hanging="360"/>
      </w:pPr>
    </w:lvl>
    <w:lvl w:ilvl="8" w:tplc="0415001B" w:tentative="1">
      <w:start w:val="1"/>
      <w:numFmt w:val="lowerRoman"/>
      <w:lvlText w:val="%9."/>
      <w:lvlJc w:val="right"/>
      <w:pPr>
        <w:ind w:left="6559" w:hanging="180"/>
      </w:pPr>
    </w:lvl>
  </w:abstractNum>
  <w:abstractNum w:abstractNumId="1" w15:restartNumberingAfterBreak="0">
    <w:nsid w:val="0C857538"/>
    <w:multiLevelType w:val="hybridMultilevel"/>
    <w:tmpl w:val="47D8B9BC"/>
    <w:lvl w:ilvl="0" w:tplc="04150011">
      <w:start w:val="1"/>
      <w:numFmt w:val="decimal"/>
      <w:lvlText w:val="%1)"/>
      <w:lvlJc w:val="left"/>
      <w:pPr>
        <w:ind w:left="1160" w:hanging="360"/>
      </w:pPr>
      <w:rPr>
        <w:rFonts w:hint="default"/>
        <w:b/>
      </w:rPr>
    </w:lvl>
    <w:lvl w:ilvl="1" w:tplc="04150019" w:tentative="1">
      <w:start w:val="1"/>
      <w:numFmt w:val="lowerLetter"/>
      <w:lvlText w:val="%2."/>
      <w:lvlJc w:val="left"/>
      <w:pPr>
        <w:ind w:left="1880" w:hanging="360"/>
      </w:pPr>
    </w:lvl>
    <w:lvl w:ilvl="2" w:tplc="0415001B" w:tentative="1">
      <w:start w:val="1"/>
      <w:numFmt w:val="lowerRoman"/>
      <w:lvlText w:val="%3."/>
      <w:lvlJc w:val="right"/>
      <w:pPr>
        <w:ind w:left="2600" w:hanging="180"/>
      </w:pPr>
    </w:lvl>
    <w:lvl w:ilvl="3" w:tplc="0415000F" w:tentative="1">
      <w:start w:val="1"/>
      <w:numFmt w:val="decimal"/>
      <w:lvlText w:val="%4."/>
      <w:lvlJc w:val="left"/>
      <w:pPr>
        <w:ind w:left="3320" w:hanging="360"/>
      </w:pPr>
    </w:lvl>
    <w:lvl w:ilvl="4" w:tplc="04150019" w:tentative="1">
      <w:start w:val="1"/>
      <w:numFmt w:val="lowerLetter"/>
      <w:lvlText w:val="%5."/>
      <w:lvlJc w:val="left"/>
      <w:pPr>
        <w:ind w:left="4040" w:hanging="360"/>
      </w:pPr>
    </w:lvl>
    <w:lvl w:ilvl="5" w:tplc="0415001B" w:tentative="1">
      <w:start w:val="1"/>
      <w:numFmt w:val="lowerRoman"/>
      <w:lvlText w:val="%6."/>
      <w:lvlJc w:val="right"/>
      <w:pPr>
        <w:ind w:left="4760" w:hanging="180"/>
      </w:pPr>
    </w:lvl>
    <w:lvl w:ilvl="6" w:tplc="0415000F" w:tentative="1">
      <w:start w:val="1"/>
      <w:numFmt w:val="decimal"/>
      <w:lvlText w:val="%7."/>
      <w:lvlJc w:val="left"/>
      <w:pPr>
        <w:ind w:left="5480" w:hanging="360"/>
      </w:pPr>
    </w:lvl>
    <w:lvl w:ilvl="7" w:tplc="04150019" w:tentative="1">
      <w:start w:val="1"/>
      <w:numFmt w:val="lowerLetter"/>
      <w:lvlText w:val="%8."/>
      <w:lvlJc w:val="left"/>
      <w:pPr>
        <w:ind w:left="6200" w:hanging="360"/>
      </w:pPr>
    </w:lvl>
    <w:lvl w:ilvl="8" w:tplc="0415001B" w:tentative="1">
      <w:start w:val="1"/>
      <w:numFmt w:val="lowerRoman"/>
      <w:lvlText w:val="%9."/>
      <w:lvlJc w:val="right"/>
      <w:pPr>
        <w:ind w:left="6920" w:hanging="180"/>
      </w:pPr>
    </w:lvl>
  </w:abstractNum>
  <w:abstractNum w:abstractNumId="2" w15:restartNumberingAfterBreak="0">
    <w:nsid w:val="14BB01FD"/>
    <w:multiLevelType w:val="hybridMultilevel"/>
    <w:tmpl w:val="047C5D78"/>
    <w:lvl w:ilvl="0" w:tplc="7B3634A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D93601"/>
    <w:multiLevelType w:val="hybridMultilevel"/>
    <w:tmpl w:val="FD22884A"/>
    <w:lvl w:ilvl="0" w:tplc="0415000F">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A73CBE"/>
    <w:multiLevelType w:val="hybridMultilevel"/>
    <w:tmpl w:val="1B003A7E"/>
    <w:lvl w:ilvl="0" w:tplc="B002B1EE">
      <w:start w:val="1"/>
      <w:numFmt w:val="decimal"/>
      <w:lvlText w:val="%1)"/>
      <w:lvlJc w:val="left"/>
      <w:pPr>
        <w:ind w:left="360" w:hanging="360"/>
      </w:pPr>
      <w:rPr>
        <w:b/>
      </w:rPr>
    </w:lvl>
    <w:lvl w:ilvl="1" w:tplc="04150017">
      <w:start w:val="1"/>
      <w:numFmt w:val="lowerLetter"/>
      <w:lvlText w:val="%2)"/>
      <w:lvlJc w:val="left"/>
      <w:pPr>
        <w:ind w:left="1080" w:hanging="360"/>
      </w:pPr>
    </w:lvl>
    <w:lvl w:ilvl="2" w:tplc="0415001B">
      <w:start w:val="1"/>
      <w:numFmt w:val="lowerRoman"/>
      <w:lvlText w:val="%3."/>
      <w:lvlJc w:val="right"/>
      <w:pPr>
        <w:ind w:left="1800" w:hanging="180"/>
      </w:pPr>
    </w:lvl>
    <w:lvl w:ilvl="3" w:tplc="5952F8D4">
      <w:start w:val="1"/>
      <w:numFmt w:val="decimal"/>
      <w:lvlText w:val="%4."/>
      <w:lvlJc w:val="left"/>
      <w:pPr>
        <w:ind w:left="2520" w:hanging="360"/>
      </w:pPr>
      <w:rPr>
        <w:b/>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20161A55"/>
    <w:multiLevelType w:val="hybridMultilevel"/>
    <w:tmpl w:val="5E183F70"/>
    <w:lvl w:ilvl="0" w:tplc="3C307E2E">
      <w:start w:val="1"/>
      <w:numFmt w:val="lowerLetter"/>
      <w:lvlText w:val="%1)"/>
      <w:lvlJc w:val="left"/>
      <w:pPr>
        <w:ind w:left="440" w:hanging="360"/>
      </w:pPr>
      <w:rPr>
        <w:rFonts w:hint="default"/>
        <w:b/>
        <w:i w:val="0"/>
      </w:rPr>
    </w:lvl>
    <w:lvl w:ilvl="1" w:tplc="04150019" w:tentative="1">
      <w:start w:val="1"/>
      <w:numFmt w:val="lowerLetter"/>
      <w:lvlText w:val="%2."/>
      <w:lvlJc w:val="left"/>
      <w:pPr>
        <w:ind w:left="1160" w:hanging="360"/>
      </w:pPr>
    </w:lvl>
    <w:lvl w:ilvl="2" w:tplc="0415001B" w:tentative="1">
      <w:start w:val="1"/>
      <w:numFmt w:val="lowerRoman"/>
      <w:lvlText w:val="%3."/>
      <w:lvlJc w:val="right"/>
      <w:pPr>
        <w:ind w:left="1880" w:hanging="180"/>
      </w:pPr>
    </w:lvl>
    <w:lvl w:ilvl="3" w:tplc="0415000F" w:tentative="1">
      <w:start w:val="1"/>
      <w:numFmt w:val="decimal"/>
      <w:lvlText w:val="%4."/>
      <w:lvlJc w:val="left"/>
      <w:pPr>
        <w:ind w:left="2600" w:hanging="360"/>
      </w:pPr>
    </w:lvl>
    <w:lvl w:ilvl="4" w:tplc="04150019" w:tentative="1">
      <w:start w:val="1"/>
      <w:numFmt w:val="lowerLetter"/>
      <w:lvlText w:val="%5."/>
      <w:lvlJc w:val="left"/>
      <w:pPr>
        <w:ind w:left="3320" w:hanging="360"/>
      </w:pPr>
    </w:lvl>
    <w:lvl w:ilvl="5" w:tplc="0415001B" w:tentative="1">
      <w:start w:val="1"/>
      <w:numFmt w:val="lowerRoman"/>
      <w:lvlText w:val="%6."/>
      <w:lvlJc w:val="right"/>
      <w:pPr>
        <w:ind w:left="4040" w:hanging="180"/>
      </w:pPr>
    </w:lvl>
    <w:lvl w:ilvl="6" w:tplc="0415000F" w:tentative="1">
      <w:start w:val="1"/>
      <w:numFmt w:val="decimal"/>
      <w:lvlText w:val="%7."/>
      <w:lvlJc w:val="left"/>
      <w:pPr>
        <w:ind w:left="4760" w:hanging="360"/>
      </w:pPr>
    </w:lvl>
    <w:lvl w:ilvl="7" w:tplc="04150019" w:tentative="1">
      <w:start w:val="1"/>
      <w:numFmt w:val="lowerLetter"/>
      <w:lvlText w:val="%8."/>
      <w:lvlJc w:val="left"/>
      <w:pPr>
        <w:ind w:left="5480" w:hanging="360"/>
      </w:pPr>
    </w:lvl>
    <w:lvl w:ilvl="8" w:tplc="0415001B" w:tentative="1">
      <w:start w:val="1"/>
      <w:numFmt w:val="lowerRoman"/>
      <w:lvlText w:val="%9."/>
      <w:lvlJc w:val="right"/>
      <w:pPr>
        <w:ind w:left="6200" w:hanging="180"/>
      </w:pPr>
    </w:lvl>
  </w:abstractNum>
  <w:abstractNum w:abstractNumId="6" w15:restartNumberingAfterBreak="0">
    <w:nsid w:val="216D15F4"/>
    <w:multiLevelType w:val="multilevel"/>
    <w:tmpl w:val="BBF8B986"/>
    <w:lvl w:ilvl="0">
      <w:start w:val="1"/>
      <w:numFmt w:val="upperRoman"/>
      <w:lvlText w:val="%1."/>
      <w:lvlJc w:val="right"/>
      <w:pPr>
        <w:ind w:left="927"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60F3B21"/>
    <w:multiLevelType w:val="hybridMultilevel"/>
    <w:tmpl w:val="17C0A2F2"/>
    <w:lvl w:ilvl="0" w:tplc="D1925812">
      <w:start w:val="1"/>
      <w:numFmt w:val="decimal"/>
      <w:lvlText w:val="%1)"/>
      <w:lvlJc w:val="left"/>
      <w:pPr>
        <w:ind w:left="360" w:hanging="360"/>
      </w:pPr>
      <w:rPr>
        <w:b/>
      </w:rPr>
    </w:lvl>
    <w:lvl w:ilvl="1" w:tplc="356CC90E">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A682305"/>
    <w:multiLevelType w:val="hybridMultilevel"/>
    <w:tmpl w:val="72B4E2FE"/>
    <w:lvl w:ilvl="0" w:tplc="04150011">
      <w:start w:val="1"/>
      <w:numFmt w:val="decimal"/>
      <w:lvlText w:val="%1)"/>
      <w:lvlJc w:val="lef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1E5533F"/>
    <w:multiLevelType w:val="hybridMultilevel"/>
    <w:tmpl w:val="49386328"/>
    <w:lvl w:ilvl="0" w:tplc="6B5E7FD6">
      <w:start w:val="1"/>
      <w:numFmt w:val="lowerLetter"/>
      <w:lvlText w:val="%1)"/>
      <w:lvlJc w:val="left"/>
      <w:pPr>
        <w:ind w:left="440" w:hanging="360"/>
      </w:pPr>
      <w:rPr>
        <w:b/>
        <w:i w:val="0"/>
      </w:rPr>
    </w:lvl>
    <w:lvl w:ilvl="1" w:tplc="04150019">
      <w:start w:val="1"/>
      <w:numFmt w:val="lowerLetter"/>
      <w:lvlText w:val="%2."/>
      <w:lvlJc w:val="left"/>
      <w:pPr>
        <w:ind w:left="1160" w:hanging="360"/>
      </w:pPr>
    </w:lvl>
    <w:lvl w:ilvl="2" w:tplc="0415001B">
      <w:start w:val="1"/>
      <w:numFmt w:val="lowerRoman"/>
      <w:lvlText w:val="%3."/>
      <w:lvlJc w:val="right"/>
      <w:pPr>
        <w:ind w:left="1880" w:hanging="180"/>
      </w:pPr>
    </w:lvl>
    <w:lvl w:ilvl="3" w:tplc="0415000F">
      <w:start w:val="1"/>
      <w:numFmt w:val="decimal"/>
      <w:lvlText w:val="%4."/>
      <w:lvlJc w:val="left"/>
      <w:pPr>
        <w:ind w:left="2600" w:hanging="360"/>
      </w:pPr>
    </w:lvl>
    <w:lvl w:ilvl="4" w:tplc="04150019">
      <w:start w:val="1"/>
      <w:numFmt w:val="lowerLetter"/>
      <w:lvlText w:val="%5."/>
      <w:lvlJc w:val="left"/>
      <w:pPr>
        <w:ind w:left="3320" w:hanging="360"/>
      </w:pPr>
    </w:lvl>
    <w:lvl w:ilvl="5" w:tplc="0415001B">
      <w:start w:val="1"/>
      <w:numFmt w:val="lowerRoman"/>
      <w:lvlText w:val="%6."/>
      <w:lvlJc w:val="right"/>
      <w:pPr>
        <w:ind w:left="4040" w:hanging="180"/>
      </w:pPr>
    </w:lvl>
    <w:lvl w:ilvl="6" w:tplc="0415000F">
      <w:start w:val="1"/>
      <w:numFmt w:val="decimal"/>
      <w:lvlText w:val="%7."/>
      <w:lvlJc w:val="left"/>
      <w:pPr>
        <w:ind w:left="4760" w:hanging="360"/>
      </w:pPr>
    </w:lvl>
    <w:lvl w:ilvl="7" w:tplc="04150019">
      <w:start w:val="1"/>
      <w:numFmt w:val="lowerLetter"/>
      <w:lvlText w:val="%8."/>
      <w:lvlJc w:val="left"/>
      <w:pPr>
        <w:ind w:left="5480" w:hanging="360"/>
      </w:pPr>
    </w:lvl>
    <w:lvl w:ilvl="8" w:tplc="0415001B">
      <w:start w:val="1"/>
      <w:numFmt w:val="lowerRoman"/>
      <w:lvlText w:val="%9."/>
      <w:lvlJc w:val="right"/>
      <w:pPr>
        <w:ind w:left="6200" w:hanging="180"/>
      </w:pPr>
    </w:lvl>
  </w:abstractNum>
  <w:abstractNum w:abstractNumId="10" w15:restartNumberingAfterBreak="0">
    <w:nsid w:val="325C20F5"/>
    <w:multiLevelType w:val="hybridMultilevel"/>
    <w:tmpl w:val="435C8FE8"/>
    <w:lvl w:ilvl="0" w:tplc="2ED86D7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77423D"/>
    <w:multiLevelType w:val="hybridMultilevel"/>
    <w:tmpl w:val="A418BE46"/>
    <w:lvl w:ilvl="0" w:tplc="971A462C">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1593BEB"/>
    <w:multiLevelType w:val="hybridMultilevel"/>
    <w:tmpl w:val="B7A22FE8"/>
    <w:lvl w:ilvl="0" w:tplc="2654BEEA">
      <w:start w:val="1"/>
      <w:numFmt w:val="lowerLetter"/>
      <w:lvlText w:val="%1)"/>
      <w:lvlJc w:val="left"/>
      <w:pPr>
        <w:ind w:left="799" w:hanging="360"/>
      </w:pPr>
      <w:rPr>
        <w:b/>
      </w:rPr>
    </w:lvl>
    <w:lvl w:ilvl="1" w:tplc="04150019" w:tentative="1">
      <w:start w:val="1"/>
      <w:numFmt w:val="lowerLetter"/>
      <w:lvlText w:val="%2."/>
      <w:lvlJc w:val="left"/>
      <w:pPr>
        <w:ind w:left="1519" w:hanging="360"/>
      </w:pPr>
    </w:lvl>
    <w:lvl w:ilvl="2" w:tplc="0415001B" w:tentative="1">
      <w:start w:val="1"/>
      <w:numFmt w:val="lowerRoman"/>
      <w:lvlText w:val="%3."/>
      <w:lvlJc w:val="right"/>
      <w:pPr>
        <w:ind w:left="2239" w:hanging="180"/>
      </w:pPr>
    </w:lvl>
    <w:lvl w:ilvl="3" w:tplc="0415000F" w:tentative="1">
      <w:start w:val="1"/>
      <w:numFmt w:val="decimal"/>
      <w:lvlText w:val="%4."/>
      <w:lvlJc w:val="left"/>
      <w:pPr>
        <w:ind w:left="2959" w:hanging="360"/>
      </w:pPr>
    </w:lvl>
    <w:lvl w:ilvl="4" w:tplc="04150019" w:tentative="1">
      <w:start w:val="1"/>
      <w:numFmt w:val="lowerLetter"/>
      <w:lvlText w:val="%5."/>
      <w:lvlJc w:val="left"/>
      <w:pPr>
        <w:ind w:left="3679" w:hanging="360"/>
      </w:pPr>
    </w:lvl>
    <w:lvl w:ilvl="5" w:tplc="0415001B" w:tentative="1">
      <w:start w:val="1"/>
      <w:numFmt w:val="lowerRoman"/>
      <w:lvlText w:val="%6."/>
      <w:lvlJc w:val="right"/>
      <w:pPr>
        <w:ind w:left="4399" w:hanging="180"/>
      </w:pPr>
    </w:lvl>
    <w:lvl w:ilvl="6" w:tplc="0415000F" w:tentative="1">
      <w:start w:val="1"/>
      <w:numFmt w:val="decimal"/>
      <w:lvlText w:val="%7."/>
      <w:lvlJc w:val="left"/>
      <w:pPr>
        <w:ind w:left="5119" w:hanging="360"/>
      </w:pPr>
    </w:lvl>
    <w:lvl w:ilvl="7" w:tplc="04150019" w:tentative="1">
      <w:start w:val="1"/>
      <w:numFmt w:val="lowerLetter"/>
      <w:lvlText w:val="%8."/>
      <w:lvlJc w:val="left"/>
      <w:pPr>
        <w:ind w:left="5839" w:hanging="360"/>
      </w:pPr>
    </w:lvl>
    <w:lvl w:ilvl="8" w:tplc="0415001B" w:tentative="1">
      <w:start w:val="1"/>
      <w:numFmt w:val="lowerRoman"/>
      <w:lvlText w:val="%9."/>
      <w:lvlJc w:val="right"/>
      <w:pPr>
        <w:ind w:left="6559" w:hanging="180"/>
      </w:pPr>
    </w:lvl>
  </w:abstractNum>
  <w:abstractNum w:abstractNumId="13" w15:restartNumberingAfterBreak="0">
    <w:nsid w:val="615D03DC"/>
    <w:multiLevelType w:val="multilevel"/>
    <w:tmpl w:val="89088E3A"/>
    <w:lvl w:ilvl="0">
      <w:start w:val="3"/>
      <w:numFmt w:val="upperRoman"/>
      <w:lvlText w:val="%1."/>
      <w:lvlJc w:val="right"/>
      <w:pPr>
        <w:ind w:left="360" w:hanging="360"/>
      </w:pPr>
      <w:rPr>
        <w:rFonts w:hint="default"/>
      </w:rPr>
    </w:lvl>
    <w:lvl w:ilvl="1">
      <w:start w:val="3"/>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37D738D"/>
    <w:multiLevelType w:val="hybridMultilevel"/>
    <w:tmpl w:val="63DE94E6"/>
    <w:lvl w:ilvl="0" w:tplc="971A462C">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7696231"/>
    <w:multiLevelType w:val="hybridMultilevel"/>
    <w:tmpl w:val="6406D6A2"/>
    <w:lvl w:ilvl="0" w:tplc="7B3634A2">
      <w:start w:val="1"/>
      <w:numFmt w:val="decimal"/>
      <w:lvlText w:val="%1."/>
      <w:lvlJc w:val="left"/>
      <w:pPr>
        <w:ind w:left="360" w:hanging="360"/>
      </w:pPr>
      <w:rPr>
        <w:b/>
      </w:r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6ABA2091"/>
    <w:multiLevelType w:val="hybridMultilevel"/>
    <w:tmpl w:val="14D0B01C"/>
    <w:lvl w:ilvl="0" w:tplc="04150019">
      <w:start w:val="1"/>
      <w:numFmt w:val="lowerLetter"/>
      <w:lvlText w:val="%1."/>
      <w:lvlJc w:val="left"/>
      <w:pPr>
        <w:ind w:left="1133" w:hanging="360"/>
      </w:pPr>
    </w:lvl>
    <w:lvl w:ilvl="1" w:tplc="04150019" w:tentative="1">
      <w:start w:val="1"/>
      <w:numFmt w:val="lowerLetter"/>
      <w:lvlText w:val="%2."/>
      <w:lvlJc w:val="left"/>
      <w:pPr>
        <w:ind w:left="1853" w:hanging="360"/>
      </w:pPr>
    </w:lvl>
    <w:lvl w:ilvl="2" w:tplc="0415001B" w:tentative="1">
      <w:start w:val="1"/>
      <w:numFmt w:val="lowerRoman"/>
      <w:lvlText w:val="%3."/>
      <w:lvlJc w:val="right"/>
      <w:pPr>
        <w:ind w:left="2573" w:hanging="180"/>
      </w:pPr>
    </w:lvl>
    <w:lvl w:ilvl="3" w:tplc="0415000F" w:tentative="1">
      <w:start w:val="1"/>
      <w:numFmt w:val="decimal"/>
      <w:lvlText w:val="%4."/>
      <w:lvlJc w:val="left"/>
      <w:pPr>
        <w:ind w:left="3293" w:hanging="360"/>
      </w:pPr>
    </w:lvl>
    <w:lvl w:ilvl="4" w:tplc="04150019" w:tentative="1">
      <w:start w:val="1"/>
      <w:numFmt w:val="lowerLetter"/>
      <w:lvlText w:val="%5."/>
      <w:lvlJc w:val="left"/>
      <w:pPr>
        <w:ind w:left="4013" w:hanging="360"/>
      </w:pPr>
    </w:lvl>
    <w:lvl w:ilvl="5" w:tplc="0415001B" w:tentative="1">
      <w:start w:val="1"/>
      <w:numFmt w:val="lowerRoman"/>
      <w:lvlText w:val="%6."/>
      <w:lvlJc w:val="right"/>
      <w:pPr>
        <w:ind w:left="4733" w:hanging="180"/>
      </w:pPr>
    </w:lvl>
    <w:lvl w:ilvl="6" w:tplc="0415000F" w:tentative="1">
      <w:start w:val="1"/>
      <w:numFmt w:val="decimal"/>
      <w:lvlText w:val="%7."/>
      <w:lvlJc w:val="left"/>
      <w:pPr>
        <w:ind w:left="5453" w:hanging="360"/>
      </w:pPr>
    </w:lvl>
    <w:lvl w:ilvl="7" w:tplc="04150019" w:tentative="1">
      <w:start w:val="1"/>
      <w:numFmt w:val="lowerLetter"/>
      <w:lvlText w:val="%8."/>
      <w:lvlJc w:val="left"/>
      <w:pPr>
        <w:ind w:left="6173" w:hanging="360"/>
      </w:pPr>
    </w:lvl>
    <w:lvl w:ilvl="8" w:tplc="0415001B" w:tentative="1">
      <w:start w:val="1"/>
      <w:numFmt w:val="lowerRoman"/>
      <w:lvlText w:val="%9."/>
      <w:lvlJc w:val="right"/>
      <w:pPr>
        <w:ind w:left="6893" w:hanging="180"/>
      </w:pPr>
    </w:lvl>
  </w:abstractNum>
  <w:abstractNum w:abstractNumId="17" w15:restartNumberingAfterBreak="0">
    <w:nsid w:val="75EF1F2A"/>
    <w:multiLevelType w:val="hybridMultilevel"/>
    <w:tmpl w:val="B420C8A6"/>
    <w:lvl w:ilvl="0" w:tplc="22683DB6">
      <w:start w:val="1"/>
      <w:numFmt w:val="lowerLetter"/>
      <w:lvlText w:val="%1."/>
      <w:lvlJc w:val="left"/>
      <w:pPr>
        <w:ind w:left="1080" w:hanging="360"/>
      </w:pPr>
      <w:rPr>
        <w:rFonts w:eastAsia="Calibri" w:hint="default"/>
        <w:b/>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76724F9A"/>
    <w:multiLevelType w:val="hybridMultilevel"/>
    <w:tmpl w:val="29CE2808"/>
    <w:lvl w:ilvl="0" w:tplc="6B5E7FD6">
      <w:start w:val="1"/>
      <w:numFmt w:val="low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F204249"/>
    <w:multiLevelType w:val="hybridMultilevel"/>
    <w:tmpl w:val="662ABAD4"/>
    <w:lvl w:ilvl="0" w:tplc="6B5E7FD6">
      <w:start w:val="1"/>
      <w:numFmt w:val="lowerLetter"/>
      <w:lvlText w:val="%1)"/>
      <w:lvlJc w:val="lef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4"/>
  </w:num>
  <w:num w:numId="3">
    <w:abstractNumId w:val="9"/>
  </w:num>
  <w:num w:numId="4">
    <w:abstractNumId w:val="13"/>
  </w:num>
  <w:num w:numId="5">
    <w:abstractNumId w:val="7"/>
  </w:num>
  <w:num w:numId="6">
    <w:abstractNumId w:val="15"/>
  </w:num>
  <w:num w:numId="7">
    <w:abstractNumId w:val="3"/>
  </w:num>
  <w:num w:numId="8">
    <w:abstractNumId w:val="5"/>
  </w:num>
  <w:num w:numId="9">
    <w:abstractNumId w:val="10"/>
  </w:num>
  <w:num w:numId="10">
    <w:abstractNumId w:val="18"/>
  </w:num>
  <w:num w:numId="11">
    <w:abstractNumId w:val="8"/>
  </w:num>
  <w:num w:numId="12">
    <w:abstractNumId w:val="19"/>
  </w:num>
  <w:num w:numId="13">
    <w:abstractNumId w:val="1"/>
  </w:num>
  <w:num w:numId="14">
    <w:abstractNumId w:val="2"/>
  </w:num>
  <w:num w:numId="15">
    <w:abstractNumId w:val="14"/>
  </w:num>
  <w:num w:numId="16">
    <w:abstractNumId w:val="11"/>
  </w:num>
  <w:num w:numId="17">
    <w:abstractNumId w:val="17"/>
  </w:num>
  <w:num w:numId="18">
    <w:abstractNumId w:val="12"/>
  </w:num>
  <w:num w:numId="19">
    <w:abstractNumId w:val="0"/>
  </w:num>
  <w:num w:numId="20">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CCF"/>
    <w:rsid w:val="00001562"/>
    <w:rsid w:val="000112E5"/>
    <w:rsid w:val="00024877"/>
    <w:rsid w:val="000259B8"/>
    <w:rsid w:val="0002660C"/>
    <w:rsid w:val="0003115E"/>
    <w:rsid w:val="00037622"/>
    <w:rsid w:val="0005643D"/>
    <w:rsid w:val="00057ADE"/>
    <w:rsid w:val="00062D70"/>
    <w:rsid w:val="0007563E"/>
    <w:rsid w:val="00091BA7"/>
    <w:rsid w:val="00094546"/>
    <w:rsid w:val="000A4B55"/>
    <w:rsid w:val="000B711B"/>
    <w:rsid w:val="000C1537"/>
    <w:rsid w:val="000C72BF"/>
    <w:rsid w:val="000D390A"/>
    <w:rsid w:val="000D47D3"/>
    <w:rsid w:val="000D72D7"/>
    <w:rsid w:val="000D7741"/>
    <w:rsid w:val="00113242"/>
    <w:rsid w:val="0012274A"/>
    <w:rsid w:val="0014494A"/>
    <w:rsid w:val="00154493"/>
    <w:rsid w:val="001650F1"/>
    <w:rsid w:val="001853A9"/>
    <w:rsid w:val="0018682B"/>
    <w:rsid w:val="00186991"/>
    <w:rsid w:val="00196F24"/>
    <w:rsid w:val="001B3145"/>
    <w:rsid w:val="001D1921"/>
    <w:rsid w:val="001D2601"/>
    <w:rsid w:val="001E733E"/>
    <w:rsid w:val="00207F54"/>
    <w:rsid w:val="002166AC"/>
    <w:rsid w:val="00217BC0"/>
    <w:rsid w:val="00234C07"/>
    <w:rsid w:val="0024286F"/>
    <w:rsid w:val="0026078F"/>
    <w:rsid w:val="00272867"/>
    <w:rsid w:val="00274DFC"/>
    <w:rsid w:val="00280296"/>
    <w:rsid w:val="00281A6D"/>
    <w:rsid w:val="002834BA"/>
    <w:rsid w:val="00291B28"/>
    <w:rsid w:val="0029633C"/>
    <w:rsid w:val="002979DB"/>
    <w:rsid w:val="002A2137"/>
    <w:rsid w:val="002A75B3"/>
    <w:rsid w:val="002A75E2"/>
    <w:rsid w:val="002A7BD1"/>
    <w:rsid w:val="002D4150"/>
    <w:rsid w:val="002E25A4"/>
    <w:rsid w:val="002E52C1"/>
    <w:rsid w:val="002F0913"/>
    <w:rsid w:val="00302730"/>
    <w:rsid w:val="00315167"/>
    <w:rsid w:val="00330BA1"/>
    <w:rsid w:val="00340680"/>
    <w:rsid w:val="00343B4B"/>
    <w:rsid w:val="0034535B"/>
    <w:rsid w:val="003469CD"/>
    <w:rsid w:val="00350801"/>
    <w:rsid w:val="003730BA"/>
    <w:rsid w:val="003949BE"/>
    <w:rsid w:val="003E0435"/>
    <w:rsid w:val="003E5ACE"/>
    <w:rsid w:val="00406F30"/>
    <w:rsid w:val="004132D5"/>
    <w:rsid w:val="00422426"/>
    <w:rsid w:val="00424319"/>
    <w:rsid w:val="00434642"/>
    <w:rsid w:val="00456305"/>
    <w:rsid w:val="004601AF"/>
    <w:rsid w:val="00462BBE"/>
    <w:rsid w:val="004706A5"/>
    <w:rsid w:val="00483814"/>
    <w:rsid w:val="00493361"/>
    <w:rsid w:val="004962B2"/>
    <w:rsid w:val="004B63D6"/>
    <w:rsid w:val="004E35CD"/>
    <w:rsid w:val="004F22C0"/>
    <w:rsid w:val="004F5B6D"/>
    <w:rsid w:val="00507C03"/>
    <w:rsid w:val="005114D9"/>
    <w:rsid w:val="00517E09"/>
    <w:rsid w:val="00532FE5"/>
    <w:rsid w:val="00541F6A"/>
    <w:rsid w:val="00545E0F"/>
    <w:rsid w:val="005522A4"/>
    <w:rsid w:val="00553C00"/>
    <w:rsid w:val="00555E20"/>
    <w:rsid w:val="005644AA"/>
    <w:rsid w:val="005833B6"/>
    <w:rsid w:val="00585895"/>
    <w:rsid w:val="00590A69"/>
    <w:rsid w:val="005B1F43"/>
    <w:rsid w:val="005B629B"/>
    <w:rsid w:val="005B787C"/>
    <w:rsid w:val="005C3332"/>
    <w:rsid w:val="005E0E2A"/>
    <w:rsid w:val="005F6D5F"/>
    <w:rsid w:val="00615EA6"/>
    <w:rsid w:val="0062460E"/>
    <w:rsid w:val="00625C23"/>
    <w:rsid w:val="00636D92"/>
    <w:rsid w:val="0064553D"/>
    <w:rsid w:val="006455CB"/>
    <w:rsid w:val="00651FF3"/>
    <w:rsid w:val="006539FC"/>
    <w:rsid w:val="0067042F"/>
    <w:rsid w:val="00672114"/>
    <w:rsid w:val="0067750E"/>
    <w:rsid w:val="006B3C24"/>
    <w:rsid w:val="006E4ADB"/>
    <w:rsid w:val="006F4369"/>
    <w:rsid w:val="007018B6"/>
    <w:rsid w:val="0072197F"/>
    <w:rsid w:val="0072601D"/>
    <w:rsid w:val="00736D20"/>
    <w:rsid w:val="00740D8D"/>
    <w:rsid w:val="00754ECD"/>
    <w:rsid w:val="00757562"/>
    <w:rsid w:val="00757FA0"/>
    <w:rsid w:val="007637C5"/>
    <w:rsid w:val="007662B6"/>
    <w:rsid w:val="00770C81"/>
    <w:rsid w:val="00770CCF"/>
    <w:rsid w:val="00771424"/>
    <w:rsid w:val="0078016A"/>
    <w:rsid w:val="007837A0"/>
    <w:rsid w:val="00792C77"/>
    <w:rsid w:val="007A3737"/>
    <w:rsid w:val="007B0D7D"/>
    <w:rsid w:val="007B666D"/>
    <w:rsid w:val="007E7D4F"/>
    <w:rsid w:val="007F1F09"/>
    <w:rsid w:val="007F3590"/>
    <w:rsid w:val="007F64EA"/>
    <w:rsid w:val="00800393"/>
    <w:rsid w:val="0081050B"/>
    <w:rsid w:val="00823913"/>
    <w:rsid w:val="008268D6"/>
    <w:rsid w:val="008279B4"/>
    <w:rsid w:val="008316C9"/>
    <w:rsid w:val="0084739C"/>
    <w:rsid w:val="00853D61"/>
    <w:rsid w:val="008555B6"/>
    <w:rsid w:val="0089632B"/>
    <w:rsid w:val="008A214D"/>
    <w:rsid w:val="008B33F3"/>
    <w:rsid w:val="008C5163"/>
    <w:rsid w:val="008D235D"/>
    <w:rsid w:val="008E6A09"/>
    <w:rsid w:val="008F1664"/>
    <w:rsid w:val="008F4D2D"/>
    <w:rsid w:val="0090544C"/>
    <w:rsid w:val="009054EE"/>
    <w:rsid w:val="00912AFD"/>
    <w:rsid w:val="00935C18"/>
    <w:rsid w:val="00935D02"/>
    <w:rsid w:val="0094588C"/>
    <w:rsid w:val="00957792"/>
    <w:rsid w:val="00977FF6"/>
    <w:rsid w:val="00997613"/>
    <w:rsid w:val="009A0993"/>
    <w:rsid w:val="009B5F5E"/>
    <w:rsid w:val="009B6A2F"/>
    <w:rsid w:val="009B7686"/>
    <w:rsid w:val="00A24587"/>
    <w:rsid w:val="00A26581"/>
    <w:rsid w:val="00A3384F"/>
    <w:rsid w:val="00A53157"/>
    <w:rsid w:val="00A5693D"/>
    <w:rsid w:val="00A6359B"/>
    <w:rsid w:val="00A83910"/>
    <w:rsid w:val="00A84E61"/>
    <w:rsid w:val="00A85C5C"/>
    <w:rsid w:val="00A94B36"/>
    <w:rsid w:val="00A96274"/>
    <w:rsid w:val="00AB6FE0"/>
    <w:rsid w:val="00AC3A2C"/>
    <w:rsid w:val="00AC3D44"/>
    <w:rsid w:val="00AF17BA"/>
    <w:rsid w:val="00AF6771"/>
    <w:rsid w:val="00B141A6"/>
    <w:rsid w:val="00B15E44"/>
    <w:rsid w:val="00B20EB2"/>
    <w:rsid w:val="00B26E03"/>
    <w:rsid w:val="00B35E0C"/>
    <w:rsid w:val="00B36F14"/>
    <w:rsid w:val="00B6065F"/>
    <w:rsid w:val="00B61B41"/>
    <w:rsid w:val="00B64A5F"/>
    <w:rsid w:val="00B81010"/>
    <w:rsid w:val="00BB764B"/>
    <w:rsid w:val="00BE4496"/>
    <w:rsid w:val="00C005C1"/>
    <w:rsid w:val="00C0646F"/>
    <w:rsid w:val="00C12BA7"/>
    <w:rsid w:val="00C12DF3"/>
    <w:rsid w:val="00C17795"/>
    <w:rsid w:val="00C32188"/>
    <w:rsid w:val="00C71817"/>
    <w:rsid w:val="00C752CA"/>
    <w:rsid w:val="00C90DAB"/>
    <w:rsid w:val="00C94EE3"/>
    <w:rsid w:val="00CA66FE"/>
    <w:rsid w:val="00CC245C"/>
    <w:rsid w:val="00CD7CC9"/>
    <w:rsid w:val="00CE2765"/>
    <w:rsid w:val="00CF3A5D"/>
    <w:rsid w:val="00CF3D52"/>
    <w:rsid w:val="00CF5FD5"/>
    <w:rsid w:val="00D0656E"/>
    <w:rsid w:val="00D111DB"/>
    <w:rsid w:val="00D15323"/>
    <w:rsid w:val="00D16BA4"/>
    <w:rsid w:val="00D30854"/>
    <w:rsid w:val="00D35DB8"/>
    <w:rsid w:val="00D43EBE"/>
    <w:rsid w:val="00D5290B"/>
    <w:rsid w:val="00D52C0A"/>
    <w:rsid w:val="00D5421A"/>
    <w:rsid w:val="00D7351B"/>
    <w:rsid w:val="00D7629E"/>
    <w:rsid w:val="00D92474"/>
    <w:rsid w:val="00DA5AC5"/>
    <w:rsid w:val="00DA74D2"/>
    <w:rsid w:val="00DA74F0"/>
    <w:rsid w:val="00DC4906"/>
    <w:rsid w:val="00DD2273"/>
    <w:rsid w:val="00DD2678"/>
    <w:rsid w:val="00DE0CC4"/>
    <w:rsid w:val="00DE7A7C"/>
    <w:rsid w:val="00DF2B03"/>
    <w:rsid w:val="00DF32FA"/>
    <w:rsid w:val="00E05AD3"/>
    <w:rsid w:val="00E34EE2"/>
    <w:rsid w:val="00E64B16"/>
    <w:rsid w:val="00E71ED1"/>
    <w:rsid w:val="00E84478"/>
    <w:rsid w:val="00EB4EA0"/>
    <w:rsid w:val="00ED5C16"/>
    <w:rsid w:val="00EE1805"/>
    <w:rsid w:val="00EF1B81"/>
    <w:rsid w:val="00EF3A0A"/>
    <w:rsid w:val="00F07C80"/>
    <w:rsid w:val="00F2357D"/>
    <w:rsid w:val="00F360F4"/>
    <w:rsid w:val="00F45BC2"/>
    <w:rsid w:val="00F52523"/>
    <w:rsid w:val="00F5611B"/>
    <w:rsid w:val="00F56D35"/>
    <w:rsid w:val="00F6114C"/>
    <w:rsid w:val="00F65EB8"/>
    <w:rsid w:val="00F66DEC"/>
    <w:rsid w:val="00F73855"/>
    <w:rsid w:val="00F75BA4"/>
    <w:rsid w:val="00F76B60"/>
    <w:rsid w:val="00F825BA"/>
    <w:rsid w:val="00FA0B71"/>
    <w:rsid w:val="00FB6B69"/>
    <w:rsid w:val="00FC41A1"/>
    <w:rsid w:val="00FC5097"/>
    <w:rsid w:val="00FE684A"/>
    <w:rsid w:val="00FF3B73"/>
    <w:rsid w:val="00FF5402"/>
    <w:rsid w:val="00FF7D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1E9A4"/>
  <w15:docId w15:val="{85917DBA-B7F6-403B-9B1D-885378392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0B711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semiHidden/>
    <w:unhideWhenUsed/>
    <w:qFormat/>
    <w:rsid w:val="000B711B"/>
    <w:pPr>
      <w:keepNext/>
      <w:keepLines/>
      <w:spacing w:before="200" w:after="0"/>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70CCF"/>
    <w:pPr>
      <w:ind w:left="720"/>
      <w:contextualSpacing/>
    </w:pPr>
  </w:style>
  <w:style w:type="table" w:styleId="Tabela-Siatka">
    <w:name w:val="Table Grid"/>
    <w:basedOn w:val="Standardowy"/>
    <w:uiPriority w:val="39"/>
    <w:rsid w:val="00770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6">
    <w:name w:val="Tekst treści (6)_"/>
    <w:basedOn w:val="Domylnaczcionkaakapitu"/>
    <w:link w:val="Teksttreci60"/>
    <w:rsid w:val="00207F54"/>
    <w:rPr>
      <w:rFonts w:ascii="Times New Roman" w:eastAsia="Times New Roman" w:hAnsi="Times New Roman" w:cs="Times New Roman"/>
      <w:sz w:val="23"/>
      <w:szCs w:val="23"/>
      <w:shd w:val="clear" w:color="auto" w:fill="FFFFFF"/>
    </w:rPr>
  </w:style>
  <w:style w:type="paragraph" w:customStyle="1" w:styleId="Teksttreci60">
    <w:name w:val="Tekst treści (6)"/>
    <w:basedOn w:val="Normalny"/>
    <w:link w:val="Teksttreci6"/>
    <w:rsid w:val="00207F54"/>
    <w:pPr>
      <w:shd w:val="clear" w:color="auto" w:fill="FFFFFF"/>
      <w:spacing w:after="0" w:line="0" w:lineRule="atLeast"/>
    </w:pPr>
    <w:rPr>
      <w:rFonts w:ascii="Times New Roman" w:eastAsia="Times New Roman" w:hAnsi="Times New Roman" w:cs="Times New Roman"/>
      <w:sz w:val="23"/>
      <w:szCs w:val="23"/>
    </w:rPr>
  </w:style>
  <w:style w:type="paragraph" w:customStyle="1" w:styleId="Standard">
    <w:name w:val="Standard"/>
    <w:rsid w:val="0078016A"/>
    <w:pPr>
      <w:widowControl w:val="0"/>
      <w:suppressAutoHyphens/>
      <w:autoSpaceDN w:val="0"/>
      <w:spacing w:after="0" w:line="240" w:lineRule="auto"/>
    </w:pPr>
    <w:rPr>
      <w:rFonts w:ascii="Times New Roman" w:eastAsia="SimSun" w:hAnsi="Times New Roman" w:cs="Lucida Sans"/>
      <w:kern w:val="3"/>
      <w:sz w:val="24"/>
      <w:szCs w:val="24"/>
      <w:lang w:eastAsia="zh-CN" w:bidi="hi-IN"/>
    </w:rPr>
  </w:style>
  <w:style w:type="character" w:styleId="Odwoaniedokomentarza">
    <w:name w:val="annotation reference"/>
    <w:basedOn w:val="Domylnaczcionkaakapitu"/>
    <w:uiPriority w:val="99"/>
    <w:semiHidden/>
    <w:unhideWhenUsed/>
    <w:rsid w:val="0062460E"/>
    <w:rPr>
      <w:sz w:val="16"/>
      <w:szCs w:val="16"/>
    </w:rPr>
  </w:style>
  <w:style w:type="paragraph" w:styleId="Tekstkomentarza">
    <w:name w:val="annotation text"/>
    <w:basedOn w:val="Normalny"/>
    <w:link w:val="TekstkomentarzaZnak"/>
    <w:uiPriority w:val="99"/>
    <w:semiHidden/>
    <w:unhideWhenUsed/>
    <w:rsid w:val="0062460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2460E"/>
    <w:rPr>
      <w:sz w:val="20"/>
      <w:szCs w:val="20"/>
    </w:rPr>
  </w:style>
  <w:style w:type="paragraph" w:styleId="Tematkomentarza">
    <w:name w:val="annotation subject"/>
    <w:basedOn w:val="Tekstkomentarza"/>
    <w:next w:val="Tekstkomentarza"/>
    <w:link w:val="TematkomentarzaZnak"/>
    <w:uiPriority w:val="99"/>
    <w:semiHidden/>
    <w:unhideWhenUsed/>
    <w:rsid w:val="0062460E"/>
    <w:rPr>
      <w:b/>
      <w:bCs/>
    </w:rPr>
  </w:style>
  <w:style w:type="character" w:customStyle="1" w:styleId="TematkomentarzaZnak">
    <w:name w:val="Temat komentarza Znak"/>
    <w:basedOn w:val="TekstkomentarzaZnak"/>
    <w:link w:val="Tematkomentarza"/>
    <w:uiPriority w:val="99"/>
    <w:semiHidden/>
    <w:rsid w:val="0062460E"/>
    <w:rPr>
      <w:b/>
      <w:bCs/>
      <w:sz w:val="20"/>
      <w:szCs w:val="20"/>
    </w:rPr>
  </w:style>
  <w:style w:type="paragraph" w:styleId="Tekstdymka">
    <w:name w:val="Balloon Text"/>
    <w:basedOn w:val="Normalny"/>
    <w:link w:val="TekstdymkaZnak"/>
    <w:uiPriority w:val="99"/>
    <w:semiHidden/>
    <w:unhideWhenUsed/>
    <w:rsid w:val="006246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460E"/>
    <w:rPr>
      <w:rFonts w:ascii="Segoe UI" w:hAnsi="Segoe UI" w:cs="Segoe UI"/>
      <w:sz w:val="18"/>
      <w:szCs w:val="18"/>
    </w:rPr>
  </w:style>
  <w:style w:type="character" w:customStyle="1" w:styleId="alb-s">
    <w:name w:val="a_lb-s"/>
    <w:basedOn w:val="Domylnaczcionkaakapitu"/>
    <w:rsid w:val="000D47D3"/>
  </w:style>
  <w:style w:type="paragraph" w:styleId="Nagwek">
    <w:name w:val="header"/>
    <w:basedOn w:val="Normalny"/>
    <w:link w:val="NagwekZnak"/>
    <w:uiPriority w:val="99"/>
    <w:unhideWhenUsed/>
    <w:rsid w:val="007A37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A3737"/>
  </w:style>
  <w:style w:type="paragraph" w:styleId="Stopka">
    <w:name w:val="footer"/>
    <w:basedOn w:val="Normalny"/>
    <w:link w:val="StopkaZnak"/>
    <w:uiPriority w:val="99"/>
    <w:unhideWhenUsed/>
    <w:rsid w:val="007A37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A3737"/>
  </w:style>
  <w:style w:type="character" w:styleId="Hipercze">
    <w:name w:val="Hyperlink"/>
    <w:basedOn w:val="Domylnaczcionkaakapitu"/>
    <w:uiPriority w:val="99"/>
    <w:unhideWhenUsed/>
    <w:rsid w:val="00B6065F"/>
    <w:rPr>
      <w:color w:val="0563C1" w:themeColor="hyperlink"/>
      <w:u w:val="single"/>
    </w:rPr>
  </w:style>
  <w:style w:type="character" w:customStyle="1" w:styleId="Nagwek2Znak">
    <w:name w:val="Nagłówek 2 Znak"/>
    <w:basedOn w:val="Domylnaczcionkaakapitu"/>
    <w:link w:val="Nagwek2"/>
    <w:uiPriority w:val="9"/>
    <w:semiHidden/>
    <w:rsid w:val="000B711B"/>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uiPriority w:val="9"/>
    <w:semiHidden/>
    <w:rsid w:val="000B711B"/>
    <w:rPr>
      <w:rFonts w:asciiTheme="majorHAnsi" w:eastAsiaTheme="majorEastAsia" w:hAnsiTheme="majorHAnsi" w:cstheme="majorBidi"/>
      <w:b/>
      <w:bCs/>
      <w:color w:val="5B9BD5" w:themeColor="accent1"/>
    </w:rPr>
  </w:style>
  <w:style w:type="paragraph" w:customStyle="1" w:styleId="Default">
    <w:name w:val="Default"/>
    <w:rsid w:val="00FE684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52876">
      <w:bodyDiv w:val="1"/>
      <w:marLeft w:val="0"/>
      <w:marRight w:val="0"/>
      <w:marTop w:val="0"/>
      <w:marBottom w:val="0"/>
      <w:divBdr>
        <w:top w:val="none" w:sz="0" w:space="0" w:color="auto"/>
        <w:left w:val="none" w:sz="0" w:space="0" w:color="auto"/>
        <w:bottom w:val="none" w:sz="0" w:space="0" w:color="auto"/>
        <w:right w:val="none" w:sz="0" w:space="0" w:color="auto"/>
      </w:divBdr>
    </w:div>
    <w:div w:id="109861503">
      <w:bodyDiv w:val="1"/>
      <w:marLeft w:val="0"/>
      <w:marRight w:val="0"/>
      <w:marTop w:val="0"/>
      <w:marBottom w:val="0"/>
      <w:divBdr>
        <w:top w:val="none" w:sz="0" w:space="0" w:color="auto"/>
        <w:left w:val="none" w:sz="0" w:space="0" w:color="auto"/>
        <w:bottom w:val="none" w:sz="0" w:space="0" w:color="auto"/>
        <w:right w:val="none" w:sz="0" w:space="0" w:color="auto"/>
      </w:divBdr>
    </w:div>
    <w:div w:id="189072170">
      <w:bodyDiv w:val="1"/>
      <w:marLeft w:val="0"/>
      <w:marRight w:val="0"/>
      <w:marTop w:val="0"/>
      <w:marBottom w:val="0"/>
      <w:divBdr>
        <w:top w:val="none" w:sz="0" w:space="0" w:color="auto"/>
        <w:left w:val="none" w:sz="0" w:space="0" w:color="auto"/>
        <w:bottom w:val="none" w:sz="0" w:space="0" w:color="auto"/>
        <w:right w:val="none" w:sz="0" w:space="0" w:color="auto"/>
      </w:divBdr>
    </w:div>
    <w:div w:id="283463983">
      <w:bodyDiv w:val="1"/>
      <w:marLeft w:val="0"/>
      <w:marRight w:val="0"/>
      <w:marTop w:val="0"/>
      <w:marBottom w:val="0"/>
      <w:divBdr>
        <w:top w:val="none" w:sz="0" w:space="0" w:color="auto"/>
        <w:left w:val="none" w:sz="0" w:space="0" w:color="auto"/>
        <w:bottom w:val="none" w:sz="0" w:space="0" w:color="auto"/>
        <w:right w:val="none" w:sz="0" w:space="0" w:color="auto"/>
      </w:divBdr>
    </w:div>
    <w:div w:id="379060979">
      <w:bodyDiv w:val="1"/>
      <w:marLeft w:val="0"/>
      <w:marRight w:val="0"/>
      <w:marTop w:val="0"/>
      <w:marBottom w:val="0"/>
      <w:divBdr>
        <w:top w:val="none" w:sz="0" w:space="0" w:color="auto"/>
        <w:left w:val="none" w:sz="0" w:space="0" w:color="auto"/>
        <w:bottom w:val="none" w:sz="0" w:space="0" w:color="auto"/>
        <w:right w:val="none" w:sz="0" w:space="0" w:color="auto"/>
      </w:divBdr>
    </w:div>
    <w:div w:id="497036989">
      <w:bodyDiv w:val="1"/>
      <w:marLeft w:val="0"/>
      <w:marRight w:val="0"/>
      <w:marTop w:val="0"/>
      <w:marBottom w:val="0"/>
      <w:divBdr>
        <w:top w:val="none" w:sz="0" w:space="0" w:color="auto"/>
        <w:left w:val="none" w:sz="0" w:space="0" w:color="auto"/>
        <w:bottom w:val="none" w:sz="0" w:space="0" w:color="auto"/>
        <w:right w:val="none" w:sz="0" w:space="0" w:color="auto"/>
      </w:divBdr>
    </w:div>
    <w:div w:id="530534521">
      <w:bodyDiv w:val="1"/>
      <w:marLeft w:val="0"/>
      <w:marRight w:val="0"/>
      <w:marTop w:val="0"/>
      <w:marBottom w:val="0"/>
      <w:divBdr>
        <w:top w:val="none" w:sz="0" w:space="0" w:color="auto"/>
        <w:left w:val="none" w:sz="0" w:space="0" w:color="auto"/>
        <w:bottom w:val="none" w:sz="0" w:space="0" w:color="auto"/>
        <w:right w:val="none" w:sz="0" w:space="0" w:color="auto"/>
      </w:divBdr>
    </w:div>
    <w:div w:id="612329231">
      <w:bodyDiv w:val="1"/>
      <w:marLeft w:val="0"/>
      <w:marRight w:val="0"/>
      <w:marTop w:val="0"/>
      <w:marBottom w:val="0"/>
      <w:divBdr>
        <w:top w:val="none" w:sz="0" w:space="0" w:color="auto"/>
        <w:left w:val="none" w:sz="0" w:space="0" w:color="auto"/>
        <w:bottom w:val="none" w:sz="0" w:space="0" w:color="auto"/>
        <w:right w:val="none" w:sz="0" w:space="0" w:color="auto"/>
      </w:divBdr>
    </w:div>
    <w:div w:id="653684333">
      <w:bodyDiv w:val="1"/>
      <w:marLeft w:val="0"/>
      <w:marRight w:val="0"/>
      <w:marTop w:val="0"/>
      <w:marBottom w:val="0"/>
      <w:divBdr>
        <w:top w:val="none" w:sz="0" w:space="0" w:color="auto"/>
        <w:left w:val="none" w:sz="0" w:space="0" w:color="auto"/>
        <w:bottom w:val="none" w:sz="0" w:space="0" w:color="auto"/>
        <w:right w:val="none" w:sz="0" w:space="0" w:color="auto"/>
      </w:divBdr>
      <w:divsChild>
        <w:div w:id="805397033">
          <w:marLeft w:val="0"/>
          <w:marRight w:val="0"/>
          <w:marTop w:val="0"/>
          <w:marBottom w:val="0"/>
          <w:divBdr>
            <w:top w:val="none" w:sz="0" w:space="0" w:color="auto"/>
            <w:left w:val="none" w:sz="0" w:space="0" w:color="auto"/>
            <w:bottom w:val="none" w:sz="0" w:space="0" w:color="auto"/>
            <w:right w:val="none" w:sz="0" w:space="0" w:color="auto"/>
          </w:divBdr>
        </w:div>
        <w:div w:id="1824277616">
          <w:marLeft w:val="0"/>
          <w:marRight w:val="0"/>
          <w:marTop w:val="0"/>
          <w:marBottom w:val="0"/>
          <w:divBdr>
            <w:top w:val="none" w:sz="0" w:space="0" w:color="auto"/>
            <w:left w:val="none" w:sz="0" w:space="0" w:color="auto"/>
            <w:bottom w:val="none" w:sz="0" w:space="0" w:color="auto"/>
            <w:right w:val="none" w:sz="0" w:space="0" w:color="auto"/>
          </w:divBdr>
        </w:div>
      </w:divsChild>
    </w:div>
    <w:div w:id="655885231">
      <w:bodyDiv w:val="1"/>
      <w:marLeft w:val="0"/>
      <w:marRight w:val="0"/>
      <w:marTop w:val="0"/>
      <w:marBottom w:val="0"/>
      <w:divBdr>
        <w:top w:val="none" w:sz="0" w:space="0" w:color="auto"/>
        <w:left w:val="none" w:sz="0" w:space="0" w:color="auto"/>
        <w:bottom w:val="none" w:sz="0" w:space="0" w:color="auto"/>
        <w:right w:val="none" w:sz="0" w:space="0" w:color="auto"/>
      </w:divBdr>
    </w:div>
    <w:div w:id="659693382">
      <w:bodyDiv w:val="1"/>
      <w:marLeft w:val="0"/>
      <w:marRight w:val="0"/>
      <w:marTop w:val="0"/>
      <w:marBottom w:val="0"/>
      <w:divBdr>
        <w:top w:val="none" w:sz="0" w:space="0" w:color="auto"/>
        <w:left w:val="none" w:sz="0" w:space="0" w:color="auto"/>
        <w:bottom w:val="none" w:sz="0" w:space="0" w:color="auto"/>
        <w:right w:val="none" w:sz="0" w:space="0" w:color="auto"/>
      </w:divBdr>
    </w:div>
    <w:div w:id="672222849">
      <w:bodyDiv w:val="1"/>
      <w:marLeft w:val="0"/>
      <w:marRight w:val="0"/>
      <w:marTop w:val="0"/>
      <w:marBottom w:val="0"/>
      <w:divBdr>
        <w:top w:val="none" w:sz="0" w:space="0" w:color="auto"/>
        <w:left w:val="none" w:sz="0" w:space="0" w:color="auto"/>
        <w:bottom w:val="none" w:sz="0" w:space="0" w:color="auto"/>
        <w:right w:val="none" w:sz="0" w:space="0" w:color="auto"/>
      </w:divBdr>
    </w:div>
    <w:div w:id="925505037">
      <w:bodyDiv w:val="1"/>
      <w:marLeft w:val="0"/>
      <w:marRight w:val="0"/>
      <w:marTop w:val="0"/>
      <w:marBottom w:val="0"/>
      <w:divBdr>
        <w:top w:val="none" w:sz="0" w:space="0" w:color="auto"/>
        <w:left w:val="none" w:sz="0" w:space="0" w:color="auto"/>
        <w:bottom w:val="none" w:sz="0" w:space="0" w:color="auto"/>
        <w:right w:val="none" w:sz="0" w:space="0" w:color="auto"/>
      </w:divBdr>
    </w:div>
    <w:div w:id="1062601420">
      <w:bodyDiv w:val="1"/>
      <w:marLeft w:val="0"/>
      <w:marRight w:val="0"/>
      <w:marTop w:val="0"/>
      <w:marBottom w:val="0"/>
      <w:divBdr>
        <w:top w:val="none" w:sz="0" w:space="0" w:color="auto"/>
        <w:left w:val="none" w:sz="0" w:space="0" w:color="auto"/>
        <w:bottom w:val="none" w:sz="0" w:space="0" w:color="auto"/>
        <w:right w:val="none" w:sz="0" w:space="0" w:color="auto"/>
      </w:divBdr>
    </w:div>
    <w:div w:id="1108894799">
      <w:bodyDiv w:val="1"/>
      <w:marLeft w:val="0"/>
      <w:marRight w:val="0"/>
      <w:marTop w:val="0"/>
      <w:marBottom w:val="0"/>
      <w:divBdr>
        <w:top w:val="none" w:sz="0" w:space="0" w:color="auto"/>
        <w:left w:val="none" w:sz="0" w:space="0" w:color="auto"/>
        <w:bottom w:val="none" w:sz="0" w:space="0" w:color="auto"/>
        <w:right w:val="none" w:sz="0" w:space="0" w:color="auto"/>
      </w:divBdr>
    </w:div>
    <w:div w:id="1160081323">
      <w:bodyDiv w:val="1"/>
      <w:marLeft w:val="0"/>
      <w:marRight w:val="0"/>
      <w:marTop w:val="0"/>
      <w:marBottom w:val="0"/>
      <w:divBdr>
        <w:top w:val="none" w:sz="0" w:space="0" w:color="auto"/>
        <w:left w:val="none" w:sz="0" w:space="0" w:color="auto"/>
        <w:bottom w:val="none" w:sz="0" w:space="0" w:color="auto"/>
        <w:right w:val="none" w:sz="0" w:space="0" w:color="auto"/>
      </w:divBdr>
    </w:div>
    <w:div w:id="1198347822">
      <w:bodyDiv w:val="1"/>
      <w:marLeft w:val="0"/>
      <w:marRight w:val="0"/>
      <w:marTop w:val="0"/>
      <w:marBottom w:val="0"/>
      <w:divBdr>
        <w:top w:val="none" w:sz="0" w:space="0" w:color="auto"/>
        <w:left w:val="none" w:sz="0" w:space="0" w:color="auto"/>
        <w:bottom w:val="none" w:sz="0" w:space="0" w:color="auto"/>
        <w:right w:val="none" w:sz="0" w:space="0" w:color="auto"/>
      </w:divBdr>
    </w:div>
    <w:div w:id="1416172255">
      <w:bodyDiv w:val="1"/>
      <w:marLeft w:val="0"/>
      <w:marRight w:val="0"/>
      <w:marTop w:val="0"/>
      <w:marBottom w:val="0"/>
      <w:divBdr>
        <w:top w:val="none" w:sz="0" w:space="0" w:color="auto"/>
        <w:left w:val="none" w:sz="0" w:space="0" w:color="auto"/>
        <w:bottom w:val="none" w:sz="0" w:space="0" w:color="auto"/>
        <w:right w:val="none" w:sz="0" w:space="0" w:color="auto"/>
      </w:divBdr>
    </w:div>
    <w:div w:id="1460567051">
      <w:bodyDiv w:val="1"/>
      <w:marLeft w:val="0"/>
      <w:marRight w:val="0"/>
      <w:marTop w:val="0"/>
      <w:marBottom w:val="0"/>
      <w:divBdr>
        <w:top w:val="none" w:sz="0" w:space="0" w:color="auto"/>
        <w:left w:val="none" w:sz="0" w:space="0" w:color="auto"/>
        <w:bottom w:val="none" w:sz="0" w:space="0" w:color="auto"/>
        <w:right w:val="none" w:sz="0" w:space="0" w:color="auto"/>
      </w:divBdr>
    </w:div>
    <w:div w:id="1504201137">
      <w:bodyDiv w:val="1"/>
      <w:marLeft w:val="0"/>
      <w:marRight w:val="0"/>
      <w:marTop w:val="0"/>
      <w:marBottom w:val="0"/>
      <w:divBdr>
        <w:top w:val="none" w:sz="0" w:space="0" w:color="auto"/>
        <w:left w:val="none" w:sz="0" w:space="0" w:color="auto"/>
        <w:bottom w:val="none" w:sz="0" w:space="0" w:color="auto"/>
        <w:right w:val="none" w:sz="0" w:space="0" w:color="auto"/>
      </w:divBdr>
    </w:div>
    <w:div w:id="1529221683">
      <w:bodyDiv w:val="1"/>
      <w:marLeft w:val="0"/>
      <w:marRight w:val="0"/>
      <w:marTop w:val="0"/>
      <w:marBottom w:val="0"/>
      <w:divBdr>
        <w:top w:val="none" w:sz="0" w:space="0" w:color="auto"/>
        <w:left w:val="none" w:sz="0" w:space="0" w:color="auto"/>
        <w:bottom w:val="none" w:sz="0" w:space="0" w:color="auto"/>
        <w:right w:val="none" w:sz="0" w:space="0" w:color="auto"/>
      </w:divBdr>
    </w:div>
    <w:div w:id="1656564766">
      <w:bodyDiv w:val="1"/>
      <w:marLeft w:val="0"/>
      <w:marRight w:val="0"/>
      <w:marTop w:val="0"/>
      <w:marBottom w:val="0"/>
      <w:divBdr>
        <w:top w:val="none" w:sz="0" w:space="0" w:color="auto"/>
        <w:left w:val="none" w:sz="0" w:space="0" w:color="auto"/>
        <w:bottom w:val="none" w:sz="0" w:space="0" w:color="auto"/>
        <w:right w:val="none" w:sz="0" w:space="0" w:color="auto"/>
      </w:divBdr>
    </w:div>
    <w:div w:id="1661763520">
      <w:bodyDiv w:val="1"/>
      <w:marLeft w:val="0"/>
      <w:marRight w:val="0"/>
      <w:marTop w:val="0"/>
      <w:marBottom w:val="0"/>
      <w:divBdr>
        <w:top w:val="none" w:sz="0" w:space="0" w:color="auto"/>
        <w:left w:val="none" w:sz="0" w:space="0" w:color="auto"/>
        <w:bottom w:val="none" w:sz="0" w:space="0" w:color="auto"/>
        <w:right w:val="none" w:sz="0" w:space="0" w:color="auto"/>
      </w:divBdr>
    </w:div>
    <w:div w:id="1662808695">
      <w:bodyDiv w:val="1"/>
      <w:marLeft w:val="0"/>
      <w:marRight w:val="0"/>
      <w:marTop w:val="0"/>
      <w:marBottom w:val="0"/>
      <w:divBdr>
        <w:top w:val="none" w:sz="0" w:space="0" w:color="auto"/>
        <w:left w:val="none" w:sz="0" w:space="0" w:color="auto"/>
        <w:bottom w:val="none" w:sz="0" w:space="0" w:color="auto"/>
        <w:right w:val="none" w:sz="0" w:space="0" w:color="auto"/>
      </w:divBdr>
    </w:div>
    <w:div w:id="1690792020">
      <w:bodyDiv w:val="1"/>
      <w:marLeft w:val="0"/>
      <w:marRight w:val="0"/>
      <w:marTop w:val="0"/>
      <w:marBottom w:val="0"/>
      <w:divBdr>
        <w:top w:val="none" w:sz="0" w:space="0" w:color="auto"/>
        <w:left w:val="none" w:sz="0" w:space="0" w:color="auto"/>
        <w:bottom w:val="none" w:sz="0" w:space="0" w:color="auto"/>
        <w:right w:val="none" w:sz="0" w:space="0" w:color="auto"/>
      </w:divBdr>
    </w:div>
    <w:div w:id="1746031124">
      <w:bodyDiv w:val="1"/>
      <w:marLeft w:val="0"/>
      <w:marRight w:val="0"/>
      <w:marTop w:val="0"/>
      <w:marBottom w:val="0"/>
      <w:divBdr>
        <w:top w:val="none" w:sz="0" w:space="0" w:color="auto"/>
        <w:left w:val="none" w:sz="0" w:space="0" w:color="auto"/>
        <w:bottom w:val="none" w:sz="0" w:space="0" w:color="auto"/>
        <w:right w:val="none" w:sz="0" w:space="0" w:color="auto"/>
      </w:divBdr>
    </w:div>
    <w:div w:id="1834955861">
      <w:bodyDiv w:val="1"/>
      <w:marLeft w:val="0"/>
      <w:marRight w:val="0"/>
      <w:marTop w:val="0"/>
      <w:marBottom w:val="0"/>
      <w:divBdr>
        <w:top w:val="none" w:sz="0" w:space="0" w:color="auto"/>
        <w:left w:val="none" w:sz="0" w:space="0" w:color="auto"/>
        <w:bottom w:val="none" w:sz="0" w:space="0" w:color="auto"/>
        <w:right w:val="none" w:sz="0" w:space="0" w:color="auto"/>
      </w:divBdr>
    </w:div>
    <w:div w:id="1875462473">
      <w:bodyDiv w:val="1"/>
      <w:marLeft w:val="0"/>
      <w:marRight w:val="0"/>
      <w:marTop w:val="0"/>
      <w:marBottom w:val="0"/>
      <w:divBdr>
        <w:top w:val="none" w:sz="0" w:space="0" w:color="auto"/>
        <w:left w:val="none" w:sz="0" w:space="0" w:color="auto"/>
        <w:bottom w:val="none" w:sz="0" w:space="0" w:color="auto"/>
        <w:right w:val="none" w:sz="0" w:space="0" w:color="auto"/>
      </w:divBdr>
    </w:div>
    <w:div w:id="1950234543">
      <w:bodyDiv w:val="1"/>
      <w:marLeft w:val="0"/>
      <w:marRight w:val="0"/>
      <w:marTop w:val="0"/>
      <w:marBottom w:val="0"/>
      <w:divBdr>
        <w:top w:val="none" w:sz="0" w:space="0" w:color="auto"/>
        <w:left w:val="none" w:sz="0" w:space="0" w:color="auto"/>
        <w:bottom w:val="none" w:sz="0" w:space="0" w:color="auto"/>
        <w:right w:val="none" w:sz="0" w:space="0" w:color="auto"/>
      </w:divBdr>
    </w:div>
    <w:div w:id="1960909323">
      <w:bodyDiv w:val="1"/>
      <w:marLeft w:val="0"/>
      <w:marRight w:val="0"/>
      <w:marTop w:val="0"/>
      <w:marBottom w:val="0"/>
      <w:divBdr>
        <w:top w:val="none" w:sz="0" w:space="0" w:color="auto"/>
        <w:left w:val="none" w:sz="0" w:space="0" w:color="auto"/>
        <w:bottom w:val="none" w:sz="0" w:space="0" w:color="auto"/>
        <w:right w:val="none" w:sz="0" w:space="0" w:color="auto"/>
      </w:divBdr>
    </w:div>
    <w:div w:id="199992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sip.gov.pl/node/795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CC215-6B10-40FD-8ECE-0205C0416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995</Words>
  <Characters>5973</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Krajowa Szkoła Sądownictwa i Prokuratury</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Jasińska</dc:creator>
  <cp:lastModifiedBy>Monika Górecka</cp:lastModifiedBy>
  <cp:revision>2</cp:revision>
  <cp:lastPrinted>2022-03-17T15:47:00Z</cp:lastPrinted>
  <dcterms:created xsi:type="dcterms:W3CDTF">2026-01-09T08:48:00Z</dcterms:created>
  <dcterms:modified xsi:type="dcterms:W3CDTF">2026-01-09T08:48:00Z</dcterms:modified>
</cp:coreProperties>
</file>