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3A" w:rsidRPr="00B12627" w:rsidRDefault="00AA763A" w:rsidP="001375C6">
      <w:pPr>
        <w:spacing w:line="360" w:lineRule="auto"/>
      </w:pPr>
      <w:bookmarkStart w:id="0" w:name="_GoBack"/>
      <w:bookmarkEnd w:id="0"/>
    </w:p>
    <w:p w:rsidR="007E48E2" w:rsidRPr="00B12627" w:rsidRDefault="007E48E2" w:rsidP="007E48E2">
      <w:pPr>
        <w:spacing w:line="360" w:lineRule="auto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6"/>
      </w:tblGrid>
      <w:tr w:rsidR="00B12627" w:rsidTr="003F53BB">
        <w:trPr>
          <w:tblCellSpacing w:w="0" w:type="dxa"/>
        </w:trPr>
        <w:tc>
          <w:tcPr>
            <w:tcW w:w="0" w:type="auto"/>
            <w:vAlign w:val="center"/>
            <w:hideMark/>
          </w:tcPr>
          <w:p w:rsidR="00B12627" w:rsidRDefault="00B12627" w:rsidP="003F53BB">
            <w:pPr>
              <w:spacing w:before="120" w:after="120"/>
            </w:pPr>
            <w:r>
              <w:t>OAS-II.420</w:t>
            </w:r>
            <w:r w:rsidR="00632AEC">
              <w:t>.51.</w:t>
            </w:r>
            <w:r>
              <w:t xml:space="preserve">2022 </w:t>
            </w:r>
          </w:p>
        </w:tc>
        <w:tc>
          <w:tcPr>
            <w:tcW w:w="0" w:type="auto"/>
          </w:tcPr>
          <w:p w:rsidR="00B12627" w:rsidRDefault="00B12627" w:rsidP="003F53BB">
            <w:pPr>
              <w:spacing w:before="120" w:after="120"/>
            </w:pPr>
          </w:p>
        </w:tc>
        <w:tc>
          <w:tcPr>
            <w:tcW w:w="0" w:type="auto"/>
            <w:vAlign w:val="center"/>
            <w:hideMark/>
          </w:tcPr>
          <w:p w:rsidR="00B12627" w:rsidRDefault="00B12627" w:rsidP="003F53BB">
            <w:pPr>
              <w:spacing w:before="120" w:after="120"/>
            </w:pPr>
          </w:p>
        </w:tc>
      </w:tr>
    </w:tbl>
    <w:p w:rsidR="00B12627" w:rsidRPr="001375C6" w:rsidRDefault="00B12627" w:rsidP="00B12627">
      <w:pPr>
        <w:spacing w:before="120" w:after="120" w:line="360" w:lineRule="auto"/>
        <w:jc w:val="right"/>
      </w:pPr>
      <w:r w:rsidRPr="001375C6">
        <w:t xml:space="preserve"> Kraków, </w:t>
      </w:r>
      <w:r w:rsidR="00EC68E3">
        <w:t>28</w:t>
      </w:r>
      <w:r w:rsidR="00632AEC">
        <w:t xml:space="preserve"> </w:t>
      </w:r>
      <w:r>
        <w:t xml:space="preserve">grudnia </w:t>
      </w:r>
      <w:r w:rsidRPr="001375C6">
        <w:t>202</w:t>
      </w:r>
      <w:r>
        <w:t>2</w:t>
      </w:r>
      <w:r w:rsidRPr="001375C6">
        <w:t xml:space="preserve"> r.</w:t>
      </w:r>
    </w:p>
    <w:p w:rsidR="00B12627" w:rsidRPr="001375C6" w:rsidRDefault="00B12627" w:rsidP="00B12627">
      <w:pPr>
        <w:spacing w:before="120" w:after="120" w:line="360" w:lineRule="auto"/>
        <w:jc w:val="both"/>
        <w:rPr>
          <w:i/>
          <w:iCs/>
        </w:rPr>
      </w:pPr>
    </w:p>
    <w:p w:rsidR="00B12627" w:rsidRPr="001375C6" w:rsidRDefault="00B12627" w:rsidP="00B12627">
      <w:pPr>
        <w:spacing w:before="120" w:after="120" w:line="360" w:lineRule="auto"/>
        <w:jc w:val="both"/>
        <w:rPr>
          <w:i/>
          <w:iCs/>
        </w:rPr>
      </w:pPr>
      <w:r w:rsidRPr="001375C6">
        <w:rPr>
          <w:i/>
          <w:iCs/>
        </w:rPr>
        <w:t>Dot. praktyk aplikantów X</w:t>
      </w:r>
      <w:r>
        <w:rPr>
          <w:i/>
          <w:iCs/>
        </w:rPr>
        <w:t>I</w:t>
      </w:r>
      <w:r w:rsidRPr="001375C6">
        <w:rPr>
          <w:i/>
          <w:iCs/>
        </w:rPr>
        <w:t>I rocznika aplikacji sędziowskiej po 2</w:t>
      </w:r>
      <w:r>
        <w:rPr>
          <w:i/>
          <w:iCs/>
        </w:rPr>
        <w:t>1</w:t>
      </w:r>
      <w:r w:rsidRPr="001375C6">
        <w:rPr>
          <w:i/>
          <w:iCs/>
        </w:rPr>
        <w:t xml:space="preserve"> zjeździe</w:t>
      </w:r>
    </w:p>
    <w:p w:rsidR="00B12627" w:rsidRPr="001375C6" w:rsidRDefault="00B12627" w:rsidP="00B12627">
      <w:pPr>
        <w:spacing w:before="120" w:after="120" w:line="360" w:lineRule="auto"/>
        <w:rPr>
          <w:b/>
          <w:bCs/>
        </w:rPr>
      </w:pPr>
    </w:p>
    <w:p w:rsidR="00B12627" w:rsidRPr="001375C6" w:rsidRDefault="00B12627" w:rsidP="00B12627">
      <w:pPr>
        <w:spacing w:before="120" w:after="120" w:line="360" w:lineRule="auto"/>
        <w:ind w:left="4956"/>
        <w:rPr>
          <w:b/>
        </w:rPr>
      </w:pPr>
      <w:r w:rsidRPr="001375C6">
        <w:rPr>
          <w:b/>
        </w:rPr>
        <w:t>Do</w:t>
      </w:r>
    </w:p>
    <w:p w:rsidR="00B12627" w:rsidRPr="001375C6" w:rsidRDefault="00B12627" w:rsidP="00B12627">
      <w:pPr>
        <w:spacing w:before="120" w:after="120" w:line="360" w:lineRule="auto"/>
        <w:ind w:left="4956"/>
        <w:rPr>
          <w:b/>
        </w:rPr>
      </w:pPr>
      <w:r>
        <w:rPr>
          <w:b/>
        </w:rPr>
        <w:t>P</w:t>
      </w:r>
      <w:r w:rsidRPr="001375C6">
        <w:rPr>
          <w:b/>
        </w:rPr>
        <w:t>atronów praktyk</w:t>
      </w:r>
    </w:p>
    <w:p w:rsidR="00B12627" w:rsidRPr="001375C6" w:rsidRDefault="00B12627" w:rsidP="00B12627">
      <w:pPr>
        <w:spacing w:before="120" w:after="120" w:line="360" w:lineRule="auto"/>
        <w:ind w:left="4956"/>
        <w:rPr>
          <w:b/>
        </w:rPr>
      </w:pPr>
      <w:r>
        <w:rPr>
          <w:b/>
        </w:rPr>
        <w:t>oraz P</w:t>
      </w:r>
      <w:r w:rsidRPr="001375C6">
        <w:rPr>
          <w:b/>
        </w:rPr>
        <w:t>atronów koordynatorów</w:t>
      </w:r>
    </w:p>
    <w:p w:rsidR="00B12627" w:rsidRDefault="00B12627" w:rsidP="00B12627">
      <w:pPr>
        <w:spacing w:before="120" w:after="120" w:line="360" w:lineRule="auto"/>
        <w:ind w:left="4956"/>
        <w:rPr>
          <w:b/>
        </w:rPr>
      </w:pPr>
      <w:r w:rsidRPr="001375C6">
        <w:rPr>
          <w:b/>
        </w:rPr>
        <w:t>aplikantów aplikacji sędziowskiej</w:t>
      </w:r>
    </w:p>
    <w:p w:rsidR="00B12627" w:rsidRPr="001375C6" w:rsidRDefault="00B12627" w:rsidP="00B12627">
      <w:pPr>
        <w:spacing w:before="120" w:after="120" w:line="360" w:lineRule="auto"/>
        <w:ind w:left="4956"/>
        <w:rPr>
          <w:b/>
        </w:rPr>
      </w:pPr>
      <w:r w:rsidRPr="001375C6">
        <w:rPr>
          <w:b/>
        </w:rPr>
        <w:t xml:space="preserve"> 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t>Uprzejmie przedstawiam szczegółowy zakres tematyczny, który winien być przedmiotem</w:t>
      </w:r>
      <w:r>
        <w:t xml:space="preserve"> </w:t>
      </w:r>
      <w:r w:rsidRPr="00B12627">
        <w:t xml:space="preserve">praktyk aplikantów aplikacji sędziowskiej odbywanych po 21 zjeździe, w okresie </w:t>
      </w:r>
      <w:r w:rsidRPr="00D85F80">
        <w:rPr>
          <w:b/>
        </w:rPr>
        <w:t>od 23 stycznia do 10 lutego 2023 r.</w:t>
      </w:r>
      <w:r w:rsidRPr="00B12627">
        <w:t xml:space="preserve"> - trzy tygodnie w sądzie rejonowym, wydziale cywilnym zajmującym się</w:t>
      </w:r>
      <w:r>
        <w:t xml:space="preserve"> </w:t>
      </w:r>
      <w:r w:rsidRPr="00B12627">
        <w:t xml:space="preserve">sprawami egzekucyjnymi lub w wydziale egzekucyjnym. 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t>Założeniem praktyki, co do zasady, jest zaznajomienie aplikantów z czynnościami</w:t>
      </w:r>
      <w:r>
        <w:t xml:space="preserve"> </w:t>
      </w:r>
      <w:r w:rsidRPr="00B12627">
        <w:t>i</w:t>
      </w:r>
      <w:r w:rsidR="00860681">
        <w:t> </w:t>
      </w:r>
      <w:r w:rsidRPr="00B12627">
        <w:t>metodyką pracy sędziego oraz doskonalenie umiejętności wykorzystania wiedzy teoretycznej</w:t>
      </w:r>
      <w:r>
        <w:t xml:space="preserve"> </w:t>
      </w:r>
      <w:r w:rsidRPr="00B12627">
        <w:t>i</w:t>
      </w:r>
      <w:r w:rsidR="00860681">
        <w:t> </w:t>
      </w:r>
      <w:r w:rsidRPr="00B12627">
        <w:t>znajomości orzecznictwa. Praktyka winna utrwalać wiedzę zdobytą przez aplikanta podczas</w:t>
      </w:r>
      <w:r>
        <w:t xml:space="preserve"> </w:t>
      </w:r>
      <w:r w:rsidRPr="00B12627">
        <w:t>bezpośrednio poprzedzających ją zajęć seminaryjnych w ramach zjazdu.</w:t>
      </w:r>
      <w:r>
        <w:t xml:space="preserve"> </w:t>
      </w:r>
    </w:p>
    <w:p w:rsidR="00B12627" w:rsidRPr="00B12627" w:rsidRDefault="00B12627" w:rsidP="00B12627">
      <w:pPr>
        <w:spacing w:before="120" w:after="120" w:line="360" w:lineRule="auto"/>
        <w:ind w:firstLine="567"/>
        <w:jc w:val="both"/>
        <w:rPr>
          <w:b/>
        </w:rPr>
      </w:pPr>
      <w:r w:rsidRPr="00B12627">
        <w:t>Z uwagi na zakres tematyczny 21 zjazdu należy poświęcić uwagę przede wszystkim</w:t>
      </w:r>
      <w:r>
        <w:t xml:space="preserve"> </w:t>
      </w:r>
      <w:r w:rsidRPr="00B12627">
        <w:rPr>
          <w:b/>
        </w:rPr>
        <w:t xml:space="preserve">postępowaniu klauzulowemu i egzekucyjnemu. 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t>W szczególności, wskazane jest zapoznanie aplikantów z zagadnieniami takimi jak:</w:t>
      </w:r>
      <w:r>
        <w:t xml:space="preserve"> 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 xml:space="preserve">instytucja tytułu egzekucyjnego, rodzaje tytułów egzekucyjnych, tytuł egzekucyjny a tytuł wykonawczy, tytuły egzekucyjne wykonalne bez nadawania im klauzuli wykonalności; 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treść klauzuli wykonalności, sposób nadania klauzuli wykonalności w zależności od rodzaju tytułu egzekucyjnego;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lastRenderedPageBreak/>
        <w:t xml:space="preserve">właściwość rzeczowa i miejscowa w postępowaniu klauzulowym; 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kognicja sądu w postępowaniu klauzulowym;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klauzula wykonalności przeciwko małżonkowi dłużnika, przeciwko wspólnikowi spółki osobowej prawa handlowego, przeciwko nabywcy przedsiębiorstwa lub gospodarstwa rolnego;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specyfika postępowania określonego w art. 788 k.p.c.;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zawieszenie i umorzenie postępowania egzekucyjnego;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nadzór judykacyjny nad czynnościami komornika z urzędu w trybie art. 759 § 2 i 3 k.p.c.;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skarga na czynności komornika;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egzekucja prowadzona przez sąd jako organ egzekucyjny (art. 1049 –1059 k.p.c.);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koszty postępowania egzekucyjnego;</w:t>
      </w:r>
    </w:p>
    <w:p w:rsidR="00B12627" w:rsidRPr="00B12627" w:rsidRDefault="00B12627" w:rsidP="00B12627">
      <w:pPr>
        <w:pStyle w:val="Akapitzlist"/>
        <w:numPr>
          <w:ilvl w:val="0"/>
          <w:numId w:val="25"/>
        </w:num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2627">
        <w:rPr>
          <w:rFonts w:ascii="Times New Roman" w:hAnsi="Times New Roman"/>
          <w:sz w:val="24"/>
          <w:szCs w:val="24"/>
        </w:rPr>
        <w:t>formułowanie zarządzeń i postanowień sądu w post</w:t>
      </w:r>
      <w:r w:rsidR="00632AEC">
        <w:rPr>
          <w:rFonts w:ascii="Times New Roman" w:hAnsi="Times New Roman"/>
          <w:sz w:val="24"/>
          <w:szCs w:val="24"/>
        </w:rPr>
        <w:t>ę</w:t>
      </w:r>
      <w:r w:rsidRPr="00B12627">
        <w:rPr>
          <w:rFonts w:ascii="Times New Roman" w:hAnsi="Times New Roman"/>
          <w:sz w:val="24"/>
          <w:szCs w:val="24"/>
        </w:rPr>
        <w:t>powaniu egzekucyjnym.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t>Zaleca się, aby w trakcie praktyki aplikanci zapoznawali się z konkretnymi sprawami</w:t>
      </w:r>
      <w:r>
        <w:t xml:space="preserve"> </w:t>
      </w:r>
      <w:r w:rsidRPr="00B12627">
        <w:t>z</w:t>
      </w:r>
      <w:r w:rsidR="00860681">
        <w:t> </w:t>
      </w:r>
      <w:r w:rsidRPr="00B12627">
        <w:t>wyżej wymienionego zakresu, brali udział w posiedzeniach i rozprawach dotyczących tych</w:t>
      </w:r>
      <w:r>
        <w:t xml:space="preserve"> </w:t>
      </w:r>
      <w:r w:rsidRPr="00B12627">
        <w:t>spraw oraz aby powierzano im jak największą liczbę czynności, które utrwalą zdobytą przez nich</w:t>
      </w:r>
      <w:r>
        <w:t xml:space="preserve"> </w:t>
      </w:r>
      <w:r w:rsidRPr="00B12627">
        <w:t>wiedzę i umiejętności praktyczne, a w szczególności, aby brali czynny udział</w:t>
      </w:r>
      <w:r>
        <w:t xml:space="preserve"> </w:t>
      </w:r>
      <w:r w:rsidRPr="00B12627">
        <w:t>w przygotowywaniu projektów zarządzeń i orzeczeń sądu w tych dziedzinach, wraz z</w:t>
      </w:r>
      <w:r>
        <w:t xml:space="preserve"> </w:t>
      </w:r>
      <w:r w:rsidRPr="00B12627">
        <w:t>uzasadnieniami.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t>Uprzejmie przypominam, że przed rozpoczęciem praktyki patron praktyki ma obowiązek</w:t>
      </w:r>
      <w:r>
        <w:t xml:space="preserve"> </w:t>
      </w:r>
      <w:r w:rsidRPr="00B12627">
        <w:t>omówić z aplikantem cel, szczegółowy zakres tematyczny praktyki i jej planowany przebieg</w:t>
      </w:r>
      <w:r>
        <w:t xml:space="preserve"> </w:t>
      </w:r>
      <w:r w:rsidRPr="00B12627">
        <w:t>oraz zapoznać aplikanta ze swoim stanowiskiem pracy i strukturą organizacyjną jednostki,</w:t>
      </w:r>
      <w:r>
        <w:t xml:space="preserve"> </w:t>
      </w:r>
      <w:r w:rsidRPr="00B12627">
        <w:t>w której jest zatrudniony.</w:t>
      </w:r>
    </w:p>
    <w:p w:rsidR="00B12627" w:rsidRPr="00B12627" w:rsidRDefault="00B12627" w:rsidP="00B12627">
      <w:pPr>
        <w:spacing w:before="120" w:after="120" w:line="360" w:lineRule="auto"/>
        <w:ind w:firstLine="567"/>
        <w:jc w:val="both"/>
        <w:rPr>
          <w:b/>
        </w:rPr>
      </w:pPr>
      <w:r w:rsidRPr="00B12627">
        <w:rPr>
          <w:b/>
        </w:rPr>
        <w:t xml:space="preserve">Po wykonaniu czynności przez aplikanta należy szczegółowo omówić z nim rezultaty jego pracy, w tym ewentualne uchybienia. 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t>Ponadto informuję, że przedmiotem sprawdzianu, który aplikanci będą pisać po</w:t>
      </w:r>
      <w:r>
        <w:t xml:space="preserve"> </w:t>
      </w:r>
      <w:r w:rsidRPr="00B12627">
        <w:t>zakończeniu praktyki, będzie rozpoznanie, na podstawie spreparowanych akt</w:t>
      </w:r>
      <w:r w:rsidRPr="00B12627">
        <w:rPr>
          <w:b/>
        </w:rPr>
        <w:t>, skargi na czynność komornika bądź na orzeczenie referendarza sądowego wydane w postępowaniu klauzulowym bądź egzekucyjnym.</w:t>
      </w:r>
      <w:r w:rsidRPr="00B12627">
        <w:t xml:space="preserve"> Tak więc, koniecznym jest zwrócenie szczególnej uwagi na</w:t>
      </w:r>
      <w:r>
        <w:t xml:space="preserve"> </w:t>
      </w:r>
      <w:r w:rsidRPr="00B12627">
        <w:t>nabycie przez aplikantów umiejętności samodzielnego opracowywania projektów orzeczeń wraz</w:t>
      </w:r>
      <w:r>
        <w:t xml:space="preserve"> </w:t>
      </w:r>
      <w:r w:rsidRPr="00B12627">
        <w:t>z</w:t>
      </w:r>
      <w:r w:rsidR="00860681">
        <w:t> </w:t>
      </w:r>
      <w:r w:rsidRPr="00B12627">
        <w:t>uzasadnieniem w tego rodzaju sprawach.</w:t>
      </w:r>
      <w:r>
        <w:t xml:space="preserve"> </w:t>
      </w:r>
    </w:p>
    <w:p w:rsidR="00B12627" w:rsidRPr="00B12627" w:rsidRDefault="00B12627" w:rsidP="00B12627">
      <w:pPr>
        <w:spacing w:before="120" w:after="120" w:line="360" w:lineRule="auto"/>
        <w:ind w:firstLine="567"/>
        <w:jc w:val="both"/>
        <w:rPr>
          <w:b/>
          <w:u w:val="single"/>
        </w:rPr>
      </w:pPr>
      <w:r w:rsidRPr="00B12627">
        <w:rPr>
          <w:b/>
          <w:u w:val="single"/>
        </w:rPr>
        <w:t xml:space="preserve">Czynności, które powinny zostać zlecone aplikantowi w trakcie praktyki (czynności obowiązkowe): 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lastRenderedPageBreak/>
        <w:t>Należy zlecić aplikantowi sporządzenie projektów następujących orzeczeń</w:t>
      </w:r>
      <w:r w:rsidR="00D85F80">
        <w:t xml:space="preserve"> (z zarządzeniami)</w:t>
      </w:r>
      <w:r w:rsidRPr="00B12627">
        <w:t>, wraz</w:t>
      </w:r>
      <w:r>
        <w:t xml:space="preserve"> </w:t>
      </w:r>
      <w:r w:rsidRPr="00B12627">
        <w:t>rozstrzygnięciem o kosztach postepowania i uzasadnieniem: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rPr>
          <w:b/>
        </w:rPr>
        <w:t>I</w:t>
      </w:r>
      <w:r w:rsidRPr="00B12627">
        <w:t>.</w:t>
      </w:r>
    </w:p>
    <w:p w:rsidR="00B12627" w:rsidRPr="00B12627" w:rsidRDefault="00B12627" w:rsidP="00B12627">
      <w:pPr>
        <w:spacing w:before="120" w:after="120" w:line="360" w:lineRule="auto"/>
        <w:ind w:firstLine="567"/>
        <w:jc w:val="both"/>
      </w:pPr>
      <w:r w:rsidRPr="00B12627">
        <w:rPr>
          <w:b/>
        </w:rPr>
        <w:t>1)</w:t>
      </w:r>
      <w:r w:rsidRPr="00B12627">
        <w:t xml:space="preserve"> postanowienia w przedmiocie nadania klauzuli wykonalności w trybie art. 788 k.p.c.,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rPr>
          <w:b/>
        </w:rPr>
        <w:t>2)</w:t>
      </w:r>
      <w:r w:rsidRPr="00B12627">
        <w:t xml:space="preserve"> postanowienia w przedmiocie nadania klauzuli wykonalności aktowi notarialnemu,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rPr>
          <w:b/>
        </w:rPr>
        <w:t>3)</w:t>
      </w:r>
      <w:r w:rsidRPr="00B12627">
        <w:t xml:space="preserve"> postanowienia w przedmiocie nadania klauzuli wykonalności przeciwko małżonkowi</w:t>
      </w:r>
      <w:r>
        <w:t xml:space="preserve"> </w:t>
      </w:r>
      <w:r w:rsidRPr="00B12627">
        <w:t>dłużnika lub wspólnikowi spółki osobowej prawa handlowego lub przeciwko kuratorowi</w:t>
      </w:r>
      <w:r>
        <w:t xml:space="preserve"> </w:t>
      </w:r>
      <w:r w:rsidRPr="00B12627">
        <w:t>spadku, wykonawcy testamentu, zarządcy masy majątkowej;</w:t>
      </w:r>
    </w:p>
    <w:p w:rsidR="00B12627" w:rsidRPr="00B12627" w:rsidRDefault="00B12627" w:rsidP="00B12627">
      <w:pPr>
        <w:spacing w:before="120" w:after="120" w:line="360" w:lineRule="auto"/>
        <w:ind w:firstLine="567"/>
        <w:jc w:val="both"/>
        <w:rPr>
          <w:b/>
        </w:rPr>
      </w:pPr>
      <w:r w:rsidRPr="00B12627">
        <w:rPr>
          <w:b/>
        </w:rPr>
        <w:t>II.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t xml:space="preserve">trzech postanowień </w:t>
      </w:r>
      <w:r w:rsidR="00D85F80">
        <w:t xml:space="preserve">(z zarządzeniami) </w:t>
      </w:r>
      <w:r w:rsidRPr="00B12627">
        <w:t>w przedmiocie rozstrzygnięcia skargi na czynność komornika;</w:t>
      </w:r>
    </w:p>
    <w:p w:rsidR="00B12627" w:rsidRPr="00B12627" w:rsidRDefault="00B12627" w:rsidP="00B12627">
      <w:pPr>
        <w:spacing w:before="120" w:after="120" w:line="360" w:lineRule="auto"/>
        <w:ind w:firstLine="567"/>
        <w:jc w:val="both"/>
        <w:rPr>
          <w:b/>
        </w:rPr>
      </w:pPr>
      <w:r w:rsidRPr="00B12627">
        <w:rPr>
          <w:b/>
        </w:rPr>
        <w:t>III.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t xml:space="preserve">dwóch postanowień </w:t>
      </w:r>
      <w:r w:rsidR="00D85F80">
        <w:t xml:space="preserve">(z zarządzeniami) </w:t>
      </w:r>
      <w:r w:rsidRPr="00B12627">
        <w:t>w przedmiocie przybicia lub przysądzenia własności lub w przedmiocie</w:t>
      </w:r>
      <w:r>
        <w:t xml:space="preserve"> </w:t>
      </w:r>
      <w:r w:rsidRPr="00B12627">
        <w:t>zarzutów przeciwko planowi podziału sumy uzyskanej z egzekucji.</w:t>
      </w:r>
      <w:r>
        <w:t xml:space="preserve"> </w:t>
      </w:r>
    </w:p>
    <w:p w:rsidR="00B12627" w:rsidRPr="00B12627" w:rsidRDefault="00B12627" w:rsidP="00B12627">
      <w:pPr>
        <w:spacing w:before="120" w:after="120" w:line="360" w:lineRule="auto"/>
        <w:ind w:firstLine="567"/>
        <w:jc w:val="both"/>
        <w:rPr>
          <w:b/>
        </w:rPr>
      </w:pPr>
      <w:r w:rsidRPr="00B12627">
        <w:rPr>
          <w:b/>
        </w:rPr>
        <w:t>IV.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  <w:r w:rsidRPr="00B12627">
        <w:t>postanowienia wydanego w trybie art. 1049-1059 k.p.c.</w:t>
      </w:r>
      <w:r w:rsidR="00D85F80" w:rsidRPr="00D85F80">
        <w:t xml:space="preserve"> </w:t>
      </w:r>
      <w:r w:rsidR="00D85F80">
        <w:t>(z zarządzeniami).</w:t>
      </w:r>
    </w:p>
    <w:p w:rsidR="00B12627" w:rsidRDefault="00B12627" w:rsidP="00B12627">
      <w:pPr>
        <w:spacing w:before="120" w:after="120" w:line="360" w:lineRule="auto"/>
        <w:ind w:firstLine="567"/>
        <w:jc w:val="both"/>
      </w:pPr>
    </w:p>
    <w:p w:rsidR="00B12627" w:rsidRDefault="00B12627" w:rsidP="00B12627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12627" w:rsidRDefault="00B12627" w:rsidP="00B12627">
      <w:pPr>
        <w:spacing w:after="100" w:afterAutospacing="1" w:line="360" w:lineRule="auto"/>
        <w:ind w:left="3540"/>
        <w:contextualSpacing/>
        <w:jc w:val="center"/>
      </w:pPr>
      <w:r>
        <w:t>Kierownik Działu Dydaktycznego OAS</w:t>
      </w:r>
    </w:p>
    <w:p w:rsidR="00B12627" w:rsidRDefault="00B12627" w:rsidP="00B12627">
      <w:pPr>
        <w:spacing w:after="100" w:afterAutospacing="1" w:line="360" w:lineRule="auto"/>
        <w:ind w:left="3538"/>
        <w:contextualSpacing/>
        <w:jc w:val="center"/>
      </w:pPr>
      <w:r>
        <w:t>dr Mariusz Kucharczyk</w:t>
      </w:r>
    </w:p>
    <w:p w:rsidR="00B12627" w:rsidRPr="001375C6" w:rsidRDefault="00B12627" w:rsidP="00B12627">
      <w:pPr>
        <w:spacing w:after="100" w:afterAutospacing="1" w:line="360" w:lineRule="auto"/>
        <w:ind w:left="3538"/>
        <w:contextualSpacing/>
        <w:jc w:val="center"/>
      </w:pPr>
      <w:r>
        <w:t>sędzia</w:t>
      </w:r>
    </w:p>
    <w:p w:rsidR="005C3A19" w:rsidRPr="00B12627" w:rsidRDefault="005C3A19" w:rsidP="00B12627"/>
    <w:sectPr w:rsidR="005C3A19" w:rsidRPr="00B12627" w:rsidSect="00180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A2" w:rsidRDefault="007369A2">
      <w:r>
        <w:separator/>
      </w:r>
    </w:p>
  </w:endnote>
  <w:endnote w:type="continuationSeparator" w:id="0">
    <w:p w:rsidR="007369A2" w:rsidRDefault="0073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CC" w:rsidRDefault="00BD15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23BC8">
      <w:rPr>
        <w:noProof/>
      </w:rPr>
      <w:t>2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A2" w:rsidRDefault="007369A2">
      <w:r>
        <w:separator/>
      </w:r>
    </w:p>
  </w:footnote>
  <w:footnote w:type="continuationSeparator" w:id="0">
    <w:p w:rsidR="007369A2" w:rsidRDefault="0073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CC" w:rsidRDefault="00BD15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7A" w:rsidRDefault="006D2A66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086"/>
    <w:multiLevelType w:val="hybridMultilevel"/>
    <w:tmpl w:val="4A3E9EB2"/>
    <w:lvl w:ilvl="0" w:tplc="8664440C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A7C"/>
    <w:multiLevelType w:val="hybridMultilevel"/>
    <w:tmpl w:val="7ADE305C"/>
    <w:lvl w:ilvl="0" w:tplc="A0627E68">
      <w:start w:val="1"/>
      <w:numFmt w:val="decimal"/>
      <w:lvlText w:val="%1)"/>
      <w:lvlJc w:val="left"/>
      <w:pPr>
        <w:ind w:left="8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28E87950"/>
    <w:multiLevelType w:val="hybridMultilevel"/>
    <w:tmpl w:val="47FC0572"/>
    <w:lvl w:ilvl="0" w:tplc="CB1EB5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FF38D2"/>
    <w:multiLevelType w:val="multilevel"/>
    <w:tmpl w:val="FFE6BF4C"/>
    <w:lvl w:ilvl="0">
      <w:numFmt w:val="bullet"/>
      <w:lvlText w:val="−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5" w15:restartNumberingAfterBreak="0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4E5E"/>
    <w:multiLevelType w:val="hybridMultilevel"/>
    <w:tmpl w:val="5A56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131A8"/>
    <w:multiLevelType w:val="hybridMultilevel"/>
    <w:tmpl w:val="E9449CA4"/>
    <w:lvl w:ilvl="0" w:tplc="A9FEFE8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965040B"/>
    <w:multiLevelType w:val="multilevel"/>
    <w:tmpl w:val="8F66E8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2" w15:restartNumberingAfterBreak="0">
    <w:nsid w:val="6E73001A"/>
    <w:multiLevelType w:val="hybridMultilevel"/>
    <w:tmpl w:val="4378D1D0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3" w15:restartNumberingAfterBreak="0">
    <w:nsid w:val="792C5763"/>
    <w:multiLevelType w:val="hybridMultilevel"/>
    <w:tmpl w:val="05CA6262"/>
    <w:lvl w:ilvl="0" w:tplc="B12A27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0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9"/>
  </w:num>
  <w:num w:numId="11">
    <w:abstractNumId w:val="13"/>
  </w:num>
  <w:num w:numId="12">
    <w:abstractNumId w:val="16"/>
  </w:num>
  <w:num w:numId="13">
    <w:abstractNumId w:val="1"/>
  </w:num>
  <w:num w:numId="14">
    <w:abstractNumId w:val="6"/>
  </w:num>
  <w:num w:numId="15">
    <w:abstractNumId w:val="17"/>
  </w:num>
  <w:num w:numId="16">
    <w:abstractNumId w:val="8"/>
  </w:num>
  <w:num w:numId="17">
    <w:abstractNumId w:val="23"/>
  </w:num>
  <w:num w:numId="18">
    <w:abstractNumId w:val="2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0"/>
  </w:num>
  <w:num w:numId="23">
    <w:abstractNumId w:val="22"/>
  </w:num>
  <w:num w:numId="24">
    <w:abstractNumId w:val="2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D"/>
    <w:rsid w:val="0001101F"/>
    <w:rsid w:val="00014624"/>
    <w:rsid w:val="00034D71"/>
    <w:rsid w:val="000668E8"/>
    <w:rsid w:val="0007211A"/>
    <w:rsid w:val="00097D85"/>
    <w:rsid w:val="000A1EFE"/>
    <w:rsid w:val="000A2478"/>
    <w:rsid w:val="000D4423"/>
    <w:rsid w:val="000F0C83"/>
    <w:rsid w:val="001260C2"/>
    <w:rsid w:val="001375C6"/>
    <w:rsid w:val="001535EF"/>
    <w:rsid w:val="00161840"/>
    <w:rsid w:val="001729AB"/>
    <w:rsid w:val="0018057A"/>
    <w:rsid w:val="00194EF0"/>
    <w:rsid w:val="001B1023"/>
    <w:rsid w:val="001B5DCE"/>
    <w:rsid w:val="001C324D"/>
    <w:rsid w:val="001D454E"/>
    <w:rsid w:val="001D612D"/>
    <w:rsid w:val="002011F7"/>
    <w:rsid w:val="00201A36"/>
    <w:rsid w:val="00204292"/>
    <w:rsid w:val="0021023C"/>
    <w:rsid w:val="0025331C"/>
    <w:rsid w:val="00257FA6"/>
    <w:rsid w:val="00284E8B"/>
    <w:rsid w:val="00285828"/>
    <w:rsid w:val="00287A8D"/>
    <w:rsid w:val="002B72F8"/>
    <w:rsid w:val="002C7466"/>
    <w:rsid w:val="002D428C"/>
    <w:rsid w:val="00372C6F"/>
    <w:rsid w:val="00377536"/>
    <w:rsid w:val="00383E19"/>
    <w:rsid w:val="003976C9"/>
    <w:rsid w:val="003C548A"/>
    <w:rsid w:val="003C7982"/>
    <w:rsid w:val="003E6968"/>
    <w:rsid w:val="004020A3"/>
    <w:rsid w:val="004065CA"/>
    <w:rsid w:val="00435692"/>
    <w:rsid w:val="00453544"/>
    <w:rsid w:val="00454444"/>
    <w:rsid w:val="00460F2D"/>
    <w:rsid w:val="004655B2"/>
    <w:rsid w:val="004963E2"/>
    <w:rsid w:val="004B5F62"/>
    <w:rsid w:val="004C2C6A"/>
    <w:rsid w:val="004D6A0F"/>
    <w:rsid w:val="004E1F7C"/>
    <w:rsid w:val="004E3431"/>
    <w:rsid w:val="004E3997"/>
    <w:rsid w:val="005243F2"/>
    <w:rsid w:val="0054400E"/>
    <w:rsid w:val="0057441C"/>
    <w:rsid w:val="00580444"/>
    <w:rsid w:val="005814DD"/>
    <w:rsid w:val="0058215B"/>
    <w:rsid w:val="00582E93"/>
    <w:rsid w:val="0059529A"/>
    <w:rsid w:val="005B5162"/>
    <w:rsid w:val="005C3A19"/>
    <w:rsid w:val="005C7F40"/>
    <w:rsid w:val="006259B0"/>
    <w:rsid w:val="00632AEC"/>
    <w:rsid w:val="00642192"/>
    <w:rsid w:val="00643965"/>
    <w:rsid w:val="00657A5D"/>
    <w:rsid w:val="0066240C"/>
    <w:rsid w:val="0066690E"/>
    <w:rsid w:val="006A029F"/>
    <w:rsid w:val="006B6150"/>
    <w:rsid w:val="006C2C02"/>
    <w:rsid w:val="006C31F8"/>
    <w:rsid w:val="006D2A66"/>
    <w:rsid w:val="006F304D"/>
    <w:rsid w:val="006F7418"/>
    <w:rsid w:val="0071099F"/>
    <w:rsid w:val="0072431F"/>
    <w:rsid w:val="007369A2"/>
    <w:rsid w:val="00737451"/>
    <w:rsid w:val="00742594"/>
    <w:rsid w:val="007744EC"/>
    <w:rsid w:val="00781288"/>
    <w:rsid w:val="007A0EF0"/>
    <w:rsid w:val="007A4DDF"/>
    <w:rsid w:val="007A7F2A"/>
    <w:rsid w:val="007C0AF4"/>
    <w:rsid w:val="007D3B03"/>
    <w:rsid w:val="007E48E2"/>
    <w:rsid w:val="00811FD4"/>
    <w:rsid w:val="00815636"/>
    <w:rsid w:val="008333CC"/>
    <w:rsid w:val="00854268"/>
    <w:rsid w:val="00854696"/>
    <w:rsid w:val="00860681"/>
    <w:rsid w:val="008643C4"/>
    <w:rsid w:val="00864DC2"/>
    <w:rsid w:val="008D5965"/>
    <w:rsid w:val="008F6844"/>
    <w:rsid w:val="00910885"/>
    <w:rsid w:val="00917315"/>
    <w:rsid w:val="009201FF"/>
    <w:rsid w:val="009449BE"/>
    <w:rsid w:val="0096011F"/>
    <w:rsid w:val="00970E46"/>
    <w:rsid w:val="00982BF4"/>
    <w:rsid w:val="009A2AD0"/>
    <w:rsid w:val="009B3C3E"/>
    <w:rsid w:val="009C1530"/>
    <w:rsid w:val="009E4BC1"/>
    <w:rsid w:val="00A05649"/>
    <w:rsid w:val="00A06BD3"/>
    <w:rsid w:val="00A23BC8"/>
    <w:rsid w:val="00A31672"/>
    <w:rsid w:val="00A321C2"/>
    <w:rsid w:val="00A84637"/>
    <w:rsid w:val="00A8661E"/>
    <w:rsid w:val="00A874E4"/>
    <w:rsid w:val="00AA763A"/>
    <w:rsid w:val="00AB1C03"/>
    <w:rsid w:val="00AB5A01"/>
    <w:rsid w:val="00AC70FF"/>
    <w:rsid w:val="00AD1E3F"/>
    <w:rsid w:val="00AE6873"/>
    <w:rsid w:val="00AF3769"/>
    <w:rsid w:val="00B12627"/>
    <w:rsid w:val="00B21553"/>
    <w:rsid w:val="00B47CD1"/>
    <w:rsid w:val="00B77887"/>
    <w:rsid w:val="00BB486A"/>
    <w:rsid w:val="00BD15CC"/>
    <w:rsid w:val="00BF4267"/>
    <w:rsid w:val="00C04C2A"/>
    <w:rsid w:val="00C0601B"/>
    <w:rsid w:val="00C433CA"/>
    <w:rsid w:val="00C87B69"/>
    <w:rsid w:val="00CA25AA"/>
    <w:rsid w:val="00CA5ED3"/>
    <w:rsid w:val="00CB4C20"/>
    <w:rsid w:val="00CB5DAB"/>
    <w:rsid w:val="00CC349A"/>
    <w:rsid w:val="00CE537D"/>
    <w:rsid w:val="00CE65E5"/>
    <w:rsid w:val="00CF4720"/>
    <w:rsid w:val="00D05C7D"/>
    <w:rsid w:val="00D14E4A"/>
    <w:rsid w:val="00D17EEB"/>
    <w:rsid w:val="00D21ADC"/>
    <w:rsid w:val="00D25212"/>
    <w:rsid w:val="00D316CF"/>
    <w:rsid w:val="00D45936"/>
    <w:rsid w:val="00D462FC"/>
    <w:rsid w:val="00D562E0"/>
    <w:rsid w:val="00D627F0"/>
    <w:rsid w:val="00D831D3"/>
    <w:rsid w:val="00D85F80"/>
    <w:rsid w:val="00DC2718"/>
    <w:rsid w:val="00DE61A0"/>
    <w:rsid w:val="00DE7763"/>
    <w:rsid w:val="00DF575C"/>
    <w:rsid w:val="00DF7BB1"/>
    <w:rsid w:val="00E07F98"/>
    <w:rsid w:val="00E2115C"/>
    <w:rsid w:val="00E32111"/>
    <w:rsid w:val="00E5763D"/>
    <w:rsid w:val="00E57F4E"/>
    <w:rsid w:val="00E60635"/>
    <w:rsid w:val="00E67575"/>
    <w:rsid w:val="00E706A9"/>
    <w:rsid w:val="00E76952"/>
    <w:rsid w:val="00EA0662"/>
    <w:rsid w:val="00EC40C2"/>
    <w:rsid w:val="00EC4F8D"/>
    <w:rsid w:val="00EC68E3"/>
    <w:rsid w:val="00ED31EF"/>
    <w:rsid w:val="00EE1949"/>
    <w:rsid w:val="00EF542D"/>
    <w:rsid w:val="00F056CC"/>
    <w:rsid w:val="00F27CE8"/>
    <w:rsid w:val="00F42136"/>
    <w:rsid w:val="00F52A94"/>
    <w:rsid w:val="00F831EC"/>
    <w:rsid w:val="00F871D7"/>
    <w:rsid w:val="00FA6D95"/>
    <w:rsid w:val="00FB1EEC"/>
    <w:rsid w:val="00FB3BE6"/>
    <w:rsid w:val="00FB64F1"/>
    <w:rsid w:val="00FC238E"/>
    <w:rsid w:val="00FD096E"/>
    <w:rsid w:val="00FD2172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paragraph" w:customStyle="1" w:styleId="Standard">
    <w:name w:val="Standard"/>
    <w:rsid w:val="00CE65E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eksttreci6">
    <w:name w:val="Tekst treści (6)_"/>
    <w:link w:val="Teksttreci60"/>
    <w:rsid w:val="006F304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F304D"/>
    <w:pPr>
      <w:shd w:val="clear" w:color="auto" w:fill="FFFFFF"/>
      <w:spacing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F271-A175-432C-ACF7-DB7BB174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2022-12-28T09:55:00Z</dcterms:created>
  <dcterms:modified xsi:type="dcterms:W3CDTF">2022-12-28T09:55:00Z</dcterms:modified>
</cp:coreProperties>
</file>