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Default="009C39F4" w:rsidP="009C39F4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</w:t>
      </w:r>
      <w:r w:rsidR="00093CAF">
        <w:t>3 marca</w:t>
      </w:r>
      <w:r>
        <w:t xml:space="preserve"> 202</w:t>
      </w:r>
      <w:r w:rsidR="00093CAF">
        <w:t>3</w:t>
      </w:r>
      <w:r>
        <w:t xml:space="preserve"> r</w:t>
      </w:r>
    </w:p>
    <w:p w:rsidR="009C39F4" w:rsidRDefault="009C39F4" w:rsidP="009C39F4">
      <w:pPr>
        <w:spacing w:after="120"/>
      </w:pPr>
      <w:r>
        <w:t xml:space="preserve">                                                                              </w:t>
      </w:r>
    </w:p>
    <w:p w:rsidR="009C39F4" w:rsidRDefault="009C39F4" w:rsidP="009C39F4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9C39F4" w:rsidRDefault="009C39F4" w:rsidP="009C39F4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9C39F4" w:rsidRDefault="009C39F4" w:rsidP="009C39F4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9C39F4" w:rsidRDefault="009C39F4" w:rsidP="009C39F4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093CAF">
        <w:rPr>
          <w:b/>
          <w:i/>
        </w:rPr>
        <w:t xml:space="preserve">I </w:t>
      </w:r>
      <w:r>
        <w:rPr>
          <w:b/>
          <w:i/>
        </w:rPr>
        <w:t>rocznika po</w:t>
      </w:r>
      <w:r w:rsidR="00093CAF">
        <w:rPr>
          <w:b/>
          <w:i/>
        </w:rPr>
        <w:t xml:space="preserve"> </w:t>
      </w:r>
      <w:r>
        <w:rPr>
          <w:b/>
          <w:i/>
        </w:rPr>
        <w:t>20 zjeździe</w:t>
      </w:r>
    </w:p>
    <w:p w:rsidR="009C39F4" w:rsidRDefault="009C39F4" w:rsidP="009C39F4">
      <w:pPr>
        <w:spacing w:after="120"/>
        <w:rPr>
          <w:b/>
          <w:i/>
        </w:rPr>
      </w:pPr>
    </w:p>
    <w:p w:rsidR="009C39F4" w:rsidRPr="003E14E1" w:rsidRDefault="009C39F4" w:rsidP="003E14E1">
      <w:pPr>
        <w:spacing w:after="120"/>
        <w:ind w:firstLine="708"/>
        <w:jc w:val="both"/>
        <w:rPr>
          <w:b/>
        </w:rPr>
      </w:pPr>
      <w:r>
        <w:t>W oparciu o §</w:t>
      </w:r>
      <w:r w:rsidR="005052C3">
        <w:t xml:space="preserve">1 ust.2 </w:t>
      </w:r>
      <w:r>
        <w:t xml:space="preserve">zarządzenia Dyrektora Krajowej Szkoły Sądownictwa  i Prokuratury w Krakowie Nr </w:t>
      </w:r>
      <w:r w:rsidR="005052C3">
        <w:t>539</w:t>
      </w:r>
      <w:r>
        <w:t>/20</w:t>
      </w:r>
      <w:r w:rsidR="005052C3">
        <w:t>21</w:t>
      </w:r>
      <w:r>
        <w:t xml:space="preserve"> z dnia </w:t>
      </w:r>
      <w:r w:rsidR="005052C3">
        <w:t>27 października</w:t>
      </w:r>
      <w:r>
        <w:t xml:space="preserve"> 20</w:t>
      </w:r>
      <w:r w:rsidR="005052C3">
        <w:t>21</w:t>
      </w:r>
      <w:r>
        <w:t xml:space="preserve"> roku w sprawie szczegółowych zasad odbywania praktyki przez aplikantów aplikacji sędziowskiej i </w:t>
      </w:r>
      <w:r w:rsidR="005052C3">
        <w:t xml:space="preserve">aplikacji </w:t>
      </w:r>
      <w:bookmarkStart w:id="0" w:name="_GoBack"/>
      <w:bookmarkEnd w:id="0"/>
      <w:r>
        <w:t xml:space="preserve">prokuratorskiej, uprzejmie przedstawiam szczegółowy zakres tematyczny, który powinien być przedmiotem praktyk aplikantów aplikacji prokuratorskiej odbywanych w dniach od </w:t>
      </w:r>
      <w:r w:rsidR="00093CAF">
        <w:rPr>
          <w:b/>
        </w:rPr>
        <w:t>30 października</w:t>
      </w:r>
      <w:r>
        <w:rPr>
          <w:b/>
        </w:rPr>
        <w:t xml:space="preserve"> do </w:t>
      </w:r>
      <w:r w:rsidR="00093CAF">
        <w:rPr>
          <w:b/>
        </w:rPr>
        <w:t>10 listopada</w:t>
      </w:r>
      <w:r>
        <w:rPr>
          <w:b/>
        </w:rPr>
        <w:t xml:space="preserve"> 202</w:t>
      </w:r>
      <w:r w:rsidR="00093CAF">
        <w:rPr>
          <w:b/>
        </w:rPr>
        <w:t>3</w:t>
      </w:r>
      <w:r>
        <w:rPr>
          <w:b/>
        </w:rPr>
        <w:t xml:space="preserve"> roku w prokuraturach rejonowych u prokuratorów wykonujących zadania z zakresu prawa cywilnego.</w:t>
      </w:r>
    </w:p>
    <w:p w:rsidR="009C39F4" w:rsidRDefault="009C39F4" w:rsidP="009C39F4">
      <w:pPr>
        <w:spacing w:after="120"/>
        <w:ind w:firstLine="708"/>
        <w:jc w:val="both"/>
      </w:pPr>
      <w:r>
        <w:t>Celem</w:t>
      </w:r>
      <w:r w:rsidR="003E14E1">
        <w:t xml:space="preserve"> </w:t>
      </w:r>
      <w:r>
        <w:t>praktyki po 20. zjeździe odbywan</w:t>
      </w:r>
      <w:r w:rsidR="003E14E1">
        <w:t xml:space="preserve">ej </w:t>
      </w:r>
      <w:r>
        <w:t xml:space="preserve"> w prokuraturach rejonowych (u prokuratorów wykonujący zadania z zakresu prawa cywilnego) jest zapoznanie </w:t>
      </w:r>
      <w:r w:rsidR="003E14E1">
        <w:t>aplikantów</w:t>
      </w:r>
      <w:r>
        <w:t xml:space="preserve"> z czynnościami z zakresu prawa cywilnego podejmowanymi przez prokuratorów – ze szczególnym uwzględnieniem działań w sprawach, w których prokurator wytaczał powództwo. Sporządzanie tego rodzaju pism. Prowadzenie czynności wyjaśniających oraz gromadzenie niezbędnych dowodów w celu wykazania istnienia przesłanek materialno-prawnych do wytoczenia powództwa. Wykorzystywanie materiałów dowodowych zebranych w sprawach karnych do działań na odcinku cywilnym.</w:t>
      </w:r>
    </w:p>
    <w:p w:rsidR="009C39F4" w:rsidRDefault="009C39F4" w:rsidP="009C39F4">
      <w:pPr>
        <w:spacing w:after="120"/>
        <w:ind w:firstLine="708"/>
        <w:jc w:val="both"/>
      </w:pPr>
      <w:r w:rsidRPr="00011321">
        <w:rPr>
          <w:b/>
        </w:rPr>
        <w:t>Aplikanci powinni w związku z tym nabyć praktyczne umiejętności, obejmujące</w:t>
      </w:r>
      <w:r>
        <w:t>: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zasady rejestracji spraw cywilnych w prokuraturze;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przygotowywanie planu czynności podejmowanych przez prokuratora na wniosek i z urzędu;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opracowywanie odezw do właściwych organów/instytucji o nadesłanie dokumentów, które mogą być niezbędne do prawidłowego rozpoznania sprawy;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ocenę zgromadzonego materiału dowodowego pod kątem decyzji co do sposobu załatwienia sprawy;</w:t>
      </w:r>
    </w:p>
    <w:p w:rsidR="009C39F4" w:rsidRDefault="009C39F4" w:rsidP="009C39F4">
      <w:pPr>
        <w:spacing w:after="120"/>
        <w:ind w:firstLine="708"/>
        <w:jc w:val="both"/>
      </w:pPr>
      <w:r>
        <w:t>•</w:t>
      </w:r>
      <w:r>
        <w:tab/>
        <w:t>opracowanie pisma inicjującego postępowanie sądowe (pozwu lub wniosku), jak również odpowiedzi do zainteresowanego o braku przesłanek do wywiedzenia wyżej wymienionych środków prawnych bądź o braku podstaw do zgłoszenia przez prokuratora udziału w postępowaniu toczącym się przed sądem.</w:t>
      </w:r>
    </w:p>
    <w:p w:rsidR="009C39F4" w:rsidRDefault="003E14E1" w:rsidP="009C39F4">
      <w:pPr>
        <w:spacing w:after="120"/>
        <w:ind w:firstLine="708"/>
        <w:jc w:val="both"/>
      </w:pPr>
      <w:r w:rsidRPr="00011321">
        <w:rPr>
          <w:b/>
        </w:rPr>
        <w:t>P</w:t>
      </w:r>
      <w:r w:rsidR="009C39F4" w:rsidRPr="00011321">
        <w:rPr>
          <w:b/>
        </w:rPr>
        <w:t>rzedmiotem sprawdzianu po odbyciu praktyk jest sporządzenie pozwu prokuratora w jednym z typów spraw cywilnych omówionych na 20. zjeździe</w:t>
      </w:r>
      <w:r w:rsidR="009C39F4">
        <w:t xml:space="preserve">. </w:t>
      </w:r>
      <w:r w:rsidR="00011321">
        <w:rPr>
          <w:b/>
        </w:rPr>
        <w:t>Dlatego ważnym jest, aby aplikanci w trakcie praktyk nabyli tę  umiejętność w jak najwyższym stopniu.</w:t>
      </w:r>
    </w:p>
    <w:p w:rsidR="009C39F4" w:rsidRDefault="009C39F4" w:rsidP="009C39F4">
      <w:pPr>
        <w:spacing w:after="120"/>
        <w:jc w:val="both"/>
      </w:pP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9C39F4" w:rsidRDefault="009C39F4" w:rsidP="009C39F4">
      <w:pPr>
        <w:spacing w:after="120"/>
        <w:jc w:val="center"/>
        <w:rPr>
          <w:b/>
        </w:rPr>
      </w:pPr>
    </w:p>
    <w:p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9C39F4" w:rsidRDefault="009C39F4" w:rsidP="009C39F4">
      <w:pPr>
        <w:spacing w:after="120"/>
        <w:jc w:val="center"/>
      </w:pPr>
      <w:r>
        <w:rPr>
          <w:b/>
        </w:rPr>
        <w:t>prokurator</w:t>
      </w:r>
    </w:p>
    <w:p w:rsidR="000B4076" w:rsidRDefault="000B4076" w:rsidP="00C568A4"/>
    <w:p w:rsidR="00093CAF" w:rsidRDefault="00093CAF" w:rsidP="00C568A4"/>
    <w:p w:rsidR="00093CAF" w:rsidRDefault="00093CAF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7E2FC5" w:rsidRDefault="007E2FC5" w:rsidP="00C568A4"/>
    <w:p w:rsidR="00093CAF" w:rsidRPr="003E14E1" w:rsidRDefault="003E14E1" w:rsidP="00C568A4">
      <w:pPr>
        <w:rPr>
          <w:u w:val="single"/>
        </w:rPr>
      </w:pPr>
      <w:r w:rsidRPr="003E14E1">
        <w:rPr>
          <w:u w:val="single"/>
        </w:rPr>
        <w:t>Załącznik do zaleceń do praktyk po 20 zjeździe XIII rocznika aplikacji prokuratorskiej:</w:t>
      </w:r>
    </w:p>
    <w:p w:rsidR="00093CAF" w:rsidRDefault="00093CAF" w:rsidP="00093CAF">
      <w:pPr>
        <w:spacing w:after="120"/>
        <w:ind w:firstLine="708"/>
        <w:jc w:val="both"/>
      </w:pPr>
      <w:r>
        <w:t>Przedmiotem 20. zjazdu aplikacji prokuratorskiej, który  odb</w:t>
      </w:r>
      <w:r w:rsidR="003E14E1">
        <w:t xml:space="preserve">ędzie </w:t>
      </w:r>
      <w:r>
        <w:t xml:space="preserve"> się w  dniach od </w:t>
      </w:r>
      <w:r w:rsidR="003E14E1">
        <w:t>23</w:t>
      </w:r>
      <w:r>
        <w:t xml:space="preserve"> do </w:t>
      </w:r>
      <w:r w:rsidR="003E14E1">
        <w:t>27</w:t>
      </w:r>
      <w:r>
        <w:t xml:space="preserve"> </w:t>
      </w:r>
      <w:r w:rsidR="003E14E1">
        <w:t>października</w:t>
      </w:r>
      <w:r>
        <w:t xml:space="preserve"> 202</w:t>
      </w:r>
      <w:r w:rsidR="003E14E1">
        <w:t>3</w:t>
      </w:r>
      <w:r>
        <w:t xml:space="preserve"> roku </w:t>
      </w:r>
      <w:r w:rsidR="003E14E1">
        <w:t>będą</w:t>
      </w:r>
      <w:r>
        <w:t xml:space="preserve"> następujące zagadnienia:                            </w:t>
      </w:r>
      <w:r>
        <w:tab/>
      </w:r>
      <w:r>
        <w:tab/>
      </w:r>
      <w:r>
        <w:tab/>
      </w:r>
    </w:p>
    <w:p w:rsidR="00093CAF" w:rsidRDefault="00093CAF" w:rsidP="00093CAF">
      <w:pPr>
        <w:spacing w:after="120"/>
        <w:ind w:firstLine="708"/>
        <w:jc w:val="both"/>
      </w:pPr>
      <w:r>
        <w:t>1.</w:t>
      </w:r>
      <w:r>
        <w:tab/>
        <w:t>Wybrane zagadnienia związane z udziałem prokuratora w postępowaniu cywilnym (prowadzi sędzia).</w:t>
      </w:r>
    </w:p>
    <w:p w:rsidR="00093CAF" w:rsidRDefault="00093CAF" w:rsidP="00093CAF">
      <w:pPr>
        <w:spacing w:after="120"/>
        <w:ind w:firstLine="708"/>
        <w:jc w:val="both"/>
      </w:pPr>
      <w:r>
        <w:t xml:space="preserve">Zdolność prawna i zdolność do czynności prawnych. Forma czynności prawnych. Wady oświadczenia woli. Nieważność a bezskuteczność czynności prawnych. Skarga </w:t>
      </w:r>
      <w:proofErr w:type="spellStart"/>
      <w:r>
        <w:t>pauliańska</w:t>
      </w:r>
      <w:proofErr w:type="spellEnd"/>
      <w:r>
        <w:t>. Roszczenie o uznanie umowy za bezskuteczną ( art. 59 k.c.). Istota zobowiązania. Zasada swobody umów i jej granice. Odpowiedzialność z tytułu czynów niedozwolonych    (art. 415 k.c., art. 444 k.c., art. 445 k.c. i art.448 k.c.).</w:t>
      </w:r>
    </w:p>
    <w:p w:rsidR="00093CAF" w:rsidRDefault="00093CAF" w:rsidP="00093CAF">
      <w:pPr>
        <w:spacing w:after="120"/>
        <w:ind w:firstLine="708"/>
        <w:jc w:val="both"/>
      </w:pPr>
      <w:r>
        <w:t>2.</w:t>
      </w:r>
      <w:r>
        <w:tab/>
        <w:t>Pozew jako pismo procesowe wszczynające proces cywilny (prowadzi sędzia).</w:t>
      </w:r>
    </w:p>
    <w:p w:rsidR="00093CAF" w:rsidRDefault="00093CAF" w:rsidP="00093CAF">
      <w:pPr>
        <w:spacing w:after="120"/>
        <w:ind w:firstLine="708"/>
        <w:jc w:val="both"/>
      </w:pPr>
      <w:r>
        <w:t>Elementy konieczne pozwu. Wniosek o udzielenie zabezpieczenia – przede wszystkim w sprawach z tytułu czynów niedozwolonych. Zwrot, odrzucenie i cofnięcie pozwu. Rodzaje powództw ze szczególnym uwzględnieniem art.189 k.p.c. i art. 10</w:t>
      </w:r>
      <w:r>
        <w:rPr>
          <w:b/>
        </w:rPr>
        <w:t xml:space="preserve"> </w:t>
      </w:r>
      <w:r>
        <w:t>ustawy o księgach wieczystych i hipotece. Odpowiednie stosowanie przepisów o pozwie do wniosku                   w postępowaniu nieprocesowym. Zasada koncentracji materiału procesowego. Związanie sądu cywilnego prawomocnym wyrokiem karnym na podstawie art. 11 k.p.c. Rozkład ciężaru dowodu w postępowaniu cywilnym (art. 6 k.c.).</w:t>
      </w:r>
    </w:p>
    <w:p w:rsidR="00093CAF" w:rsidRDefault="00093CAF" w:rsidP="00093CAF">
      <w:pPr>
        <w:spacing w:after="120"/>
        <w:ind w:firstLine="708"/>
        <w:jc w:val="both"/>
      </w:pPr>
      <w:r>
        <w:t>3.</w:t>
      </w:r>
      <w:r>
        <w:tab/>
        <w:t>Udział prokuratora w sprawach z zakresu postępowania cywilnego.</w:t>
      </w:r>
    </w:p>
    <w:p w:rsidR="00093CAF" w:rsidRDefault="00093CAF" w:rsidP="00093CAF">
      <w:pPr>
        <w:spacing w:after="120"/>
        <w:ind w:firstLine="708"/>
        <w:jc w:val="both"/>
      </w:pPr>
      <w:r>
        <w:t>Normatywne podstawy, przesłanki i formy udziału prokuratora w postępowaniu cywilnym. Procesowa i materialno-prawna legitymacja prokuratora do wszczęcia postępowania cywilnego. Powództwa na rzecz oznaczonej osoby (w tym skutki wstąpienia tej osoby do procesu). Powództwa przeciwko wszystkim podmiotom stosunku prawnego. Powództwa prokuratora w sprawach niemajątkowych z zakresu prawa rodzinnego. Powaga rzeczy osądzonej w sprawie z powództwa prokuratora. Inicjowanie postępowań nieprocesowych przewidzianych w regulacjach kodeksowych i regulacjach szczególnych. Wstąpienie prokuratora do postępowań cywilnych wszczętych przez inne podmioty (obowiązki sądu, pozycja prokuratora i jej procesowe konsekwencje, odstąpienie od udziału w sprawie). Zasady i tryb zawiadamiania prokuratora przez sąd o toczących się postępowaniach cywilnych. Regulacje dotyczące udziału prokuratora w postępowaniu cywilnym zawarte w przepisach Regulaminu wewnętrznego urzędowania powszechnych jednostek organizacyjnych prokuratury.</w:t>
      </w:r>
    </w:p>
    <w:p w:rsidR="00093CAF" w:rsidRDefault="00093CAF" w:rsidP="00093CAF">
      <w:pPr>
        <w:spacing w:after="120"/>
        <w:ind w:firstLine="708"/>
        <w:jc w:val="both"/>
      </w:pPr>
      <w:r>
        <w:t>4.</w:t>
      </w:r>
      <w:r>
        <w:tab/>
        <w:t>Wszczęcie postępowania procesowego jako jedna z form udziału prokuratora w postępowaniu cywilnym.</w:t>
      </w:r>
    </w:p>
    <w:p w:rsidR="00093CAF" w:rsidRDefault="00093CAF" w:rsidP="00093CAF">
      <w:pPr>
        <w:spacing w:after="120"/>
        <w:ind w:firstLine="708"/>
        <w:jc w:val="both"/>
      </w:pPr>
      <w:r>
        <w:t xml:space="preserve">Powództwa niesamodzielne prokuratora, wytaczane na rzecz oznaczonej osoby (pozew o zapłatę, o przepadek świadczenia, o uznanie za niegodnego dziedziczenia, powództwa regresowe wytaczane na podstawie regulacji pozakodeksowych przy zastosowaniu art. 55 k.p.c.). </w:t>
      </w:r>
    </w:p>
    <w:p w:rsidR="00093CAF" w:rsidRPr="00C568A4" w:rsidRDefault="00093CAF" w:rsidP="00C568A4"/>
    <w:sectPr w:rsidR="00093CAF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4D" w:rsidRDefault="0007004D">
      <w:pPr>
        <w:spacing w:after="0" w:line="240" w:lineRule="auto"/>
      </w:pPr>
      <w:r>
        <w:separator/>
      </w:r>
    </w:p>
  </w:endnote>
  <w:endnote w:type="continuationSeparator" w:id="0">
    <w:p w:rsidR="0007004D" w:rsidRDefault="0007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070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07004D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07004D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4D" w:rsidRDefault="0007004D">
      <w:pPr>
        <w:spacing w:after="0" w:line="240" w:lineRule="auto"/>
      </w:pPr>
      <w:r>
        <w:separator/>
      </w:r>
    </w:p>
  </w:footnote>
  <w:footnote w:type="continuationSeparator" w:id="0">
    <w:p w:rsidR="0007004D" w:rsidRDefault="0007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07004D" w:rsidP="003D147B">
    <w:pPr>
      <w:pStyle w:val="Nagwek"/>
      <w:ind w:right="4959"/>
      <w:jc w:val="center"/>
      <w:rPr>
        <w:b/>
      </w:rPr>
    </w:pPr>
  </w:p>
  <w:p w:rsidR="001B510F" w:rsidRPr="009E7ADE" w:rsidRDefault="0007004D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07004D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11321"/>
    <w:rsid w:val="000641D1"/>
    <w:rsid w:val="0007004D"/>
    <w:rsid w:val="00093CAF"/>
    <w:rsid w:val="000B4076"/>
    <w:rsid w:val="00313D8C"/>
    <w:rsid w:val="00344B32"/>
    <w:rsid w:val="003E14E1"/>
    <w:rsid w:val="00435CDB"/>
    <w:rsid w:val="00482F4C"/>
    <w:rsid w:val="005052C3"/>
    <w:rsid w:val="005C1373"/>
    <w:rsid w:val="006241BE"/>
    <w:rsid w:val="007E2FC5"/>
    <w:rsid w:val="008177FC"/>
    <w:rsid w:val="008C070F"/>
    <w:rsid w:val="009508D5"/>
    <w:rsid w:val="00987268"/>
    <w:rsid w:val="009C39F4"/>
    <w:rsid w:val="00AC5D7C"/>
    <w:rsid w:val="00BC1096"/>
    <w:rsid w:val="00C568A4"/>
    <w:rsid w:val="00E512BB"/>
    <w:rsid w:val="00E81285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DC89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Kluczewska</cp:lastModifiedBy>
  <cp:revision>12</cp:revision>
  <dcterms:created xsi:type="dcterms:W3CDTF">2023-03-22T09:32:00Z</dcterms:created>
  <dcterms:modified xsi:type="dcterms:W3CDTF">2023-05-09T08:25:00Z</dcterms:modified>
</cp:coreProperties>
</file>