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44" w:rsidRDefault="00630144" w:rsidP="0063014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E5">
        <w:rPr>
          <w:rFonts w:ascii="Times New Roman" w:hAnsi="Times New Roman" w:cs="Times New Roman"/>
          <w:i/>
          <w:sz w:val="24"/>
          <w:szCs w:val="24"/>
        </w:rPr>
        <w:t>Zalecenia w sprawie praktyk odbywanych przez aplikantów X</w:t>
      </w:r>
      <w:r w:rsidR="00B6088B">
        <w:rPr>
          <w:rFonts w:ascii="Times New Roman" w:hAnsi="Times New Roman" w:cs="Times New Roman"/>
          <w:i/>
          <w:sz w:val="24"/>
          <w:szCs w:val="24"/>
        </w:rPr>
        <w:t>IV</w:t>
      </w:r>
      <w:r w:rsidRPr="00B07BE5">
        <w:rPr>
          <w:rFonts w:ascii="Times New Roman" w:hAnsi="Times New Roman" w:cs="Times New Roman"/>
          <w:i/>
          <w:sz w:val="24"/>
          <w:szCs w:val="24"/>
        </w:rPr>
        <w:t xml:space="preserve"> rocznika aplikacji sędziowskiej po 2</w:t>
      </w:r>
      <w:r w:rsidR="00B6088B">
        <w:rPr>
          <w:rFonts w:ascii="Times New Roman" w:hAnsi="Times New Roman" w:cs="Times New Roman"/>
          <w:i/>
          <w:sz w:val="24"/>
          <w:szCs w:val="24"/>
        </w:rPr>
        <w:t>0</w:t>
      </w:r>
      <w:r w:rsidRPr="00B07BE5">
        <w:rPr>
          <w:rFonts w:ascii="Times New Roman" w:hAnsi="Times New Roman" w:cs="Times New Roman"/>
          <w:i/>
          <w:sz w:val="24"/>
          <w:szCs w:val="24"/>
        </w:rPr>
        <w:t xml:space="preserve"> i 2</w:t>
      </w:r>
      <w:r w:rsidR="00B6088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i/>
          <w:sz w:val="24"/>
          <w:szCs w:val="24"/>
        </w:rPr>
        <w:t>zjeździe</w:t>
      </w:r>
    </w:p>
    <w:p w:rsidR="00B6088B" w:rsidRPr="00B07BE5" w:rsidRDefault="00B6088B" w:rsidP="0063014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0144" w:rsidRPr="00B07BE5" w:rsidRDefault="00630144" w:rsidP="00630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Do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:rsidR="00630144" w:rsidRDefault="00630144" w:rsidP="006301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088B" w:rsidRPr="00B07BE5" w:rsidRDefault="00B6088B" w:rsidP="006301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Ogólne założenia co do przebiegu praktyk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Założeniem praktyki, co do zasady, jest zaznajomienie aplikantów z czynnościami i metodyką pracy sędziego oraz doskonalenie umiejętności wykorzystania wiedzy teoretycznej i znajomości orzecznictwa. Praktyka winna utrwalać wiedzę zdobytą podczas bezpośrednio poprzedzających ją zajęć seminaryjnych w ramach zjazdu. 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Patron praktyki powinien w pierwszej kolejności powierzać aplikantowi wykonanie czynności określonych </w:t>
      </w:r>
      <w:r w:rsidRPr="00B07BE5">
        <w:rPr>
          <w:rFonts w:ascii="Times New Roman" w:hAnsi="Times New Roman" w:cs="Times New Roman"/>
          <w:noProof/>
          <w:sz w:val="24"/>
          <w:szCs w:val="24"/>
        </w:rPr>
        <w:t xml:space="preserve">w zaleceniach dotyczących przebiegu praktyki po konkretnym zjeździe (czynności obowiązkowe), </w:t>
      </w: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Pr="00B07B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kontrolować prawidłowość ich wykonania. </w:t>
      </w:r>
    </w:p>
    <w:p w:rsidR="00630144" w:rsidRPr="00B07BE5" w:rsidRDefault="00630144" w:rsidP="00630144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sz w:val="24"/>
          <w:szCs w:val="24"/>
        </w:rPr>
        <w:t>Patron praktyki winien zwrócić szczególną uwagę na nabycie przez aplikantów umiejętności samodzielnego opracowywania projektów orzeczeń będących przedmiotem sprawdzianu.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W przypadku, gdy zrealizowanie czynności zawartych w zaleceniach dotyczących przebiegu danej praktyki okazało się niemożliwe, należy je uzupełnić podczas kolejnych praktyk – tak, aby aplikant po zakończeniu cyklu praktyk w danym wydziale posiadł wszystkie niezbędne umiejętności z zakresu objętego programem wyszczególnionych zjazdów.</w:t>
      </w:r>
    </w:p>
    <w:p w:rsidR="00630144" w:rsidRPr="00B07BE5" w:rsidRDefault="00630144" w:rsidP="0063014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Uprzejmie proszę o zapoznanie się 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 aplikacji prokuratorskie</w:t>
      </w:r>
      <w:r w:rsidRPr="00B07BE5">
        <w:rPr>
          <w:rFonts w:ascii="Times New Roman" w:eastAsia="Times New Roman" w:hAnsi="Times New Roman" w:cs="Times New Roman"/>
          <w:sz w:val="24"/>
          <w:szCs w:val="24"/>
        </w:rPr>
        <w:t>j, które znajduje się na stronie internetowej Krajowej Szkoły Sądownictwa i Prokuratury pod adresem</w:t>
      </w:r>
      <w:r w:rsidRPr="00B07BE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124D" w:rsidRPr="0031124D">
          <w:rPr>
            <w:rStyle w:val="Hipercze"/>
            <w:rFonts w:ascii="Times New Roman" w:hAnsi="Times New Roman" w:cs="Times New Roman"/>
          </w:rPr>
          <w:t>https://www.kssip.gov.pl/node/8132</w:t>
        </w:r>
      </w:hyperlink>
      <w:r w:rsidR="0031124D" w:rsidRPr="0031124D">
        <w:rPr>
          <w:rFonts w:ascii="Times New Roman" w:hAnsi="Times New Roman" w:cs="Times New Roman"/>
        </w:rPr>
        <w:t xml:space="preserve">. </w:t>
      </w:r>
      <w:r w:rsidRPr="00B07B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0144" w:rsidRPr="00B07BE5" w:rsidRDefault="00630144" w:rsidP="00630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Schemat organizacyjny praktyk w sądzie rejonowym – wydziale rodzinnym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260"/>
        <w:gridCol w:w="3402"/>
      </w:tblGrid>
      <w:tr w:rsidR="00630144" w:rsidRPr="00B07BE5" w:rsidTr="00A205D5">
        <w:tc>
          <w:tcPr>
            <w:tcW w:w="993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984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Termin zjazdu</w:t>
            </w:r>
          </w:p>
        </w:tc>
        <w:tc>
          <w:tcPr>
            <w:tcW w:w="3260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Czas trwania i termin praktyki</w:t>
            </w:r>
          </w:p>
        </w:tc>
        <w:tc>
          <w:tcPr>
            <w:tcW w:w="3402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630144" w:rsidRPr="00B07BE5" w:rsidTr="00A205D5">
        <w:tc>
          <w:tcPr>
            <w:tcW w:w="993" w:type="dxa"/>
            <w:shd w:val="clear" w:color="auto" w:fill="E2EFD9" w:themeFill="accent6" w:themeFillTint="33"/>
            <w:vAlign w:val="center"/>
          </w:tcPr>
          <w:p w:rsidR="00630144" w:rsidRPr="00576530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12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630144" w:rsidRPr="00B07BE5" w:rsidRDefault="00573FE0" w:rsidP="00FF76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16-20.9</w:t>
            </w:r>
            <w:r w:rsidR="00630144" w:rsidRPr="00B07BE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30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144"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630144" w:rsidRDefault="00630144" w:rsidP="006301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573FE0">
              <w:rPr>
                <w:rFonts w:ascii="Times New Roman" w:hAnsi="Times New Roman" w:cs="Times New Roman"/>
                <w:sz w:val="24"/>
                <w:szCs w:val="24"/>
              </w:rPr>
              <w:t>23.9.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r. </w:t>
            </w:r>
          </w:p>
          <w:p w:rsidR="00630144" w:rsidRPr="00B07BE5" w:rsidRDefault="00630144" w:rsidP="006301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73FE0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r. </w:t>
            </w:r>
          </w:p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 (3 tygodnie)</w:t>
            </w:r>
            <w:r w:rsidR="00573FE0">
              <w:rPr>
                <w:rFonts w:ascii="Times New Roman" w:hAnsi="Times New Roman" w:cs="Times New Roman"/>
                <w:sz w:val="24"/>
                <w:szCs w:val="24"/>
              </w:rPr>
              <w:t xml:space="preserve"> – w sądzie rejonowym w wydziale rodzinnym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144" w:rsidRPr="00B07BE5" w:rsidTr="00A205D5">
        <w:tc>
          <w:tcPr>
            <w:tcW w:w="993" w:type="dxa"/>
            <w:shd w:val="clear" w:color="auto" w:fill="C5E0B3" w:themeFill="accent6" w:themeFillTint="66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1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630144" w:rsidRPr="00630144" w:rsidRDefault="00573FE0" w:rsidP="00FF76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-18.10</w:t>
            </w:r>
            <w:r w:rsidR="00630144" w:rsidRPr="00630144">
              <w:rPr>
                <w:rFonts w:ascii="Times New Roman" w:hAnsi="Times New Roman" w:cs="Times New Roman"/>
                <w:sz w:val="24"/>
                <w:szCs w:val="24"/>
              </w:rPr>
              <w:t>.2024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166926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 </w:t>
            </w:r>
            <w:r w:rsidR="00573FE0"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  <w:r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.2024 r.</w:t>
            </w:r>
          </w:p>
          <w:p w:rsidR="00630144" w:rsidRPr="00166926" w:rsidRDefault="00166926" w:rsidP="00573FE0">
            <w:pPr>
              <w:spacing w:before="120" w:after="120" w:line="360" w:lineRule="auto"/>
              <w:ind w:left="1168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30144"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</w:t>
            </w:r>
            <w:r w:rsidR="00573FE0"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  <w:r w:rsidR="00630144"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.2024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FE0" w:rsidRPr="00630144" w:rsidRDefault="00630144" w:rsidP="00573FE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3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 xml:space="preserve"> tygodni</w:t>
            </w:r>
            <w:r w:rsidR="0057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FE0" w:rsidRPr="00573FE0">
              <w:rPr>
                <w:rFonts w:ascii="Times New Roman" w:hAnsi="Times New Roman" w:cs="Times New Roman"/>
                <w:sz w:val="24"/>
                <w:szCs w:val="24"/>
              </w:rPr>
              <w:t>– w sądzie rejonowym w wydziale rodzinnym</w:t>
            </w:r>
          </w:p>
          <w:p w:rsidR="00630144" w:rsidRPr="00630144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C57C27" w:rsidRPr="00C57C27" w:rsidRDefault="00C57C27" w:rsidP="00C57C2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166926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630144"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r.; </w:t>
            </w:r>
            <w:r w:rsidRPr="00C57C27">
              <w:rPr>
                <w:rFonts w:ascii="Times New Roman" w:hAnsi="Times New Roman" w:cs="Times New Roman"/>
                <w:sz w:val="24"/>
                <w:szCs w:val="24"/>
              </w:rPr>
              <w:t>przygotowanie projektu orzeczenia sądu I instancji wraz z uzasadnieniem</w:t>
            </w:r>
          </w:p>
          <w:p w:rsidR="00630144" w:rsidRPr="00B07BE5" w:rsidRDefault="00C57C27" w:rsidP="00C57C2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7">
              <w:rPr>
                <w:rFonts w:ascii="Times New Roman" w:hAnsi="Times New Roman" w:cs="Times New Roman"/>
                <w:sz w:val="24"/>
                <w:szCs w:val="24"/>
              </w:rPr>
              <w:t>w sprawie objętej tematyką zjazdów dotyczących prawa rodzinnego</w:t>
            </w:r>
          </w:p>
        </w:tc>
      </w:tr>
    </w:tbl>
    <w:p w:rsidR="00C57C27" w:rsidRDefault="00C57C27" w:rsidP="00C57C27">
      <w:pPr>
        <w:pStyle w:val="Akapitzlist"/>
        <w:spacing w:before="120" w:after="120" w:line="36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C27" w:rsidRDefault="00C57C27" w:rsidP="00C57C27">
      <w:pPr>
        <w:pStyle w:val="Akapitzlist"/>
        <w:spacing w:before="120" w:after="120" w:line="36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Zalecenia dotyczące przebiegu poszczególnych praktyk</w:t>
      </w:r>
    </w:p>
    <w:p w:rsidR="00630144" w:rsidRPr="00B07BE5" w:rsidRDefault="00630144" w:rsidP="006301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1"/>
          <w:numId w:val="1"/>
        </w:num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 xml:space="preserve"> ZALECENIA W SPRAWIE PRAKTYK PO 2</w:t>
      </w:r>
      <w:r w:rsidR="009164D2">
        <w:rPr>
          <w:rFonts w:ascii="Times New Roman" w:hAnsi="Times New Roman" w:cs="Times New Roman"/>
          <w:b/>
          <w:sz w:val="24"/>
          <w:szCs w:val="24"/>
        </w:rPr>
        <w:t>0</w:t>
      </w:r>
      <w:r w:rsidRPr="00B07B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ZJE</w:t>
      </w:r>
      <w:r w:rsidR="00C57C27">
        <w:rPr>
          <w:rFonts w:ascii="Times New Roman" w:hAnsi="Times New Roman" w:cs="Times New Roman"/>
          <w:b/>
          <w:sz w:val="24"/>
          <w:szCs w:val="24"/>
        </w:rPr>
        <w:t>Ź</w:t>
      </w:r>
      <w:r>
        <w:rPr>
          <w:rFonts w:ascii="Times New Roman" w:hAnsi="Times New Roman" w:cs="Times New Roman"/>
          <w:b/>
          <w:sz w:val="24"/>
          <w:szCs w:val="24"/>
        </w:rPr>
        <w:t>DZIE</w:t>
      </w:r>
    </w:p>
    <w:p w:rsidR="00630144" w:rsidRPr="00B07BE5" w:rsidRDefault="00630144" w:rsidP="0063014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144" w:rsidRPr="00B07BE5" w:rsidRDefault="00630144" w:rsidP="00630144">
      <w:pPr>
        <w:pStyle w:val="Default"/>
        <w:spacing w:before="120" w:after="120" w:line="360" w:lineRule="auto"/>
        <w:jc w:val="both"/>
        <w:rPr>
          <w:b/>
          <w:color w:val="auto"/>
        </w:rPr>
      </w:pPr>
      <w:r w:rsidRPr="00B07BE5">
        <w:rPr>
          <w:b/>
          <w:color w:val="auto"/>
        </w:rPr>
        <w:t>Przedmiot zjazdu: Prawo rodzinne</w:t>
      </w:r>
      <w:r w:rsidR="00C57C27">
        <w:rPr>
          <w:b/>
          <w:color w:val="auto"/>
        </w:rPr>
        <w:t xml:space="preserve"> </w:t>
      </w:r>
      <w:r w:rsidRPr="00B07BE5">
        <w:rPr>
          <w:b/>
          <w:color w:val="auto"/>
        </w:rPr>
        <w:t xml:space="preserve">– </w:t>
      </w:r>
      <w:r w:rsidR="00C57C27">
        <w:rPr>
          <w:b/>
          <w:color w:val="auto"/>
        </w:rPr>
        <w:t>postępowanie procesowe</w:t>
      </w:r>
    </w:p>
    <w:p w:rsidR="00630144" w:rsidRPr="00B07BE5" w:rsidRDefault="00630144" w:rsidP="00630144">
      <w:pPr>
        <w:tabs>
          <w:tab w:val="left" w:pos="851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lastRenderedPageBreak/>
        <w:t xml:space="preserve">W zakresie </w:t>
      </w:r>
      <w:r w:rsidRPr="00B07BE5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07BE5">
        <w:rPr>
          <w:rFonts w:ascii="Times New Roman" w:hAnsi="Times New Roman" w:cs="Times New Roman"/>
          <w:sz w:val="24"/>
          <w:szCs w:val="24"/>
        </w:rPr>
        <w:t xml:space="preserve"> należy poświęcić szczególną uwagę zagadnieniem prawa rodzinnego, które obejmują: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pochodzenie dziecka</w:t>
      </w:r>
      <w:r w:rsidR="00657F27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rozwiązanie przysposobienia</w:t>
      </w:r>
      <w:r w:rsidR="00657F27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roszczenia alimentacyjne</w:t>
      </w:r>
      <w:r w:rsidR="005B01B9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ustanowienie rozdzielności majątkowej między małżonkami. </w:t>
      </w:r>
    </w:p>
    <w:p w:rsidR="00630144" w:rsidRPr="00B07BE5" w:rsidRDefault="00630144" w:rsidP="00630144">
      <w:pPr>
        <w:spacing w:before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9164D2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07BE5">
        <w:rPr>
          <w:rFonts w:ascii="Times New Roman" w:hAnsi="Times New Roman" w:cs="Times New Roman"/>
          <w:sz w:val="24"/>
          <w:szCs w:val="24"/>
        </w:rPr>
        <w:t xml:space="preserve"> należy szczególną uwagę poświęcić następującym zagadnieniom: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 właściwość rzeczowa i miejscowa w poszczególnych sprawach rodzinnych rozpoznawanych w postępowaniu procesowym; 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reprezentacja osób małoletnich w procesie;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udział prokuratora i organizacji społecznych w postępowaniu w sprawach rodzinnych;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legitymacja czynna i bierna w sprawach rodzinnych rozpoznawanych w postępowaniu procesowym;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postępowanie zabezpieczające w zakresie alimentów i kontaktów z dzieckiem;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odrębności procedury w sprawach rodzinnych rozpoznawanych w procesie, w szczególności w sprawach ze stosunków między rodzicami a dziećmi; specyfika postępowania dowodowego w tych sprawach;</w:t>
      </w:r>
    </w:p>
    <w:p w:rsidR="008A0542" w:rsidRDefault="00630144" w:rsidP="00630144">
      <w:pPr>
        <w:pStyle w:val="Akapitzlist"/>
        <w:widowControl w:val="0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zależność między postępowaniem o rozwód lub separację toczącym się przed sądem okręgowym a postępowaniem w sprawach o zaspokojenie potrzeb rodziny lub o alimenty oraz w sprawach dotyczących władzy rodzicielskiej nad wspólnymi dziećmi stron lub ustalenia kontaktów toczącymi się w sądzie rejonowym</w:t>
      </w:r>
      <w:r w:rsidR="008A0542">
        <w:rPr>
          <w:rFonts w:ascii="Times New Roman" w:hAnsi="Times New Roman" w:cs="Times New Roman"/>
          <w:sz w:val="24"/>
          <w:szCs w:val="24"/>
        </w:rPr>
        <w:t>;</w:t>
      </w:r>
    </w:p>
    <w:p w:rsidR="00630144" w:rsidRPr="00B07BE5" w:rsidRDefault="008A0542" w:rsidP="00630144">
      <w:pPr>
        <w:pStyle w:val="Akapitzlist"/>
        <w:widowControl w:val="0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jurysdykcji i prawa właściwego w transgranicznych sprawach rodzinnych</w:t>
      </w:r>
      <w:r w:rsidR="00630144" w:rsidRPr="00B07BE5">
        <w:rPr>
          <w:rFonts w:ascii="Times New Roman" w:hAnsi="Times New Roman" w:cs="Times New Roman"/>
          <w:sz w:val="24"/>
          <w:szCs w:val="24"/>
        </w:rPr>
        <w:t>.</w:t>
      </w:r>
    </w:p>
    <w:p w:rsidR="00630144" w:rsidRPr="00B07BE5" w:rsidRDefault="00630144" w:rsidP="006301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ramach praktyki należy także zapoznać aplikantów z problematyką alternatywnych metod rozwiązywania sporów w sprawach rodzinnych, </w:t>
      </w:r>
      <w:r w:rsidRPr="00B07BE5">
        <w:rPr>
          <w:rFonts w:ascii="Times New Roman" w:hAnsi="Times New Roman" w:cs="Times New Roman"/>
          <w:b/>
          <w:sz w:val="24"/>
          <w:szCs w:val="24"/>
        </w:rPr>
        <w:t>w tym mediacji rodzinnej</w:t>
      </w:r>
      <w:r w:rsidRPr="00B07BE5">
        <w:rPr>
          <w:rFonts w:ascii="Times New Roman" w:hAnsi="Times New Roman" w:cs="Times New Roman"/>
          <w:sz w:val="24"/>
          <w:szCs w:val="24"/>
        </w:rPr>
        <w:t xml:space="preserve">, porozumień małżonków o sposobie wykonywania władzy rodzicielskiej i utrzymywaniu kontaktów z dzieckiem oraz zakresu związania tym porozumieniem, jak również ugód sądowych w sprawach rodzinnych.  </w:t>
      </w:r>
    </w:p>
    <w:p w:rsidR="00630144" w:rsidRPr="00576530" w:rsidRDefault="00630144" w:rsidP="00630144">
      <w:pPr>
        <w:pStyle w:val="Nagwek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ab/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Szczególną uwagę należy poświęcić sprawom rodzinnym z elementem zagranicznym, a zwłaszcza problematyce ustalania jurysdykcji i prawa właściwego w sprawach rodzinnych, w tym kwestiom uregulowanym w </w:t>
      </w:r>
      <w:bookmarkStart w:id="0" w:name="docTitle"/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HYPERLINK "https://sip.lex.pl/" \l "/act/67842047/2478273/rozporzadzenie-4-2009-w-sprawie-jurysdykcji-prawa-wlasciwego-uznawania-i-wykonywania-orzeczen...?keyword=4~2F2009%20Rozporz%C4%85dzenie%20UE&amp;cm=SFIRST" </w:instrTex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7425D1">
        <w:rPr>
          <w:rStyle w:val="Uwydatnieni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Rozporządzeniu 4/2009</w:t>
      </w:r>
      <w:r w:rsidRPr="00576530">
        <w:rPr>
          <w:rStyle w:val="Pogrubienie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576530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 sprawie jurysdykcji, prawa właściwego, uznawania i wykonywania orzeczeń oraz współpracy w zakresie zobowiązań alimentacyjnych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0"/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oraz Rozporządzeniu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>ady (UE) 2019/1111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>z dnia 25 czerwca 2019 r. w sprawie jurysdykcji, uznawania i wykonywania orzeczeń w sprawach małżeńskich i w sprawach dotyczących odpowiedzialności rodzicielskiej oraz w sprawie uprowadzenia dziecka za granicę (wersja przekształcona)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30144" w:rsidRPr="00B07BE5" w:rsidRDefault="00630144" w:rsidP="006301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W ramach zjazdu 2</w:t>
      </w:r>
      <w:r w:rsidR="008A0542">
        <w:rPr>
          <w:rFonts w:ascii="Times New Roman" w:hAnsi="Times New Roman" w:cs="Times New Roman"/>
          <w:sz w:val="24"/>
          <w:szCs w:val="24"/>
        </w:rPr>
        <w:t>0</w:t>
      </w:r>
      <w:r w:rsidRPr="00B07BE5">
        <w:rPr>
          <w:rFonts w:ascii="Times New Roman" w:hAnsi="Times New Roman" w:cs="Times New Roman"/>
          <w:sz w:val="24"/>
          <w:szCs w:val="24"/>
        </w:rPr>
        <w:t xml:space="preserve"> aplikanci omawiać będą również zagadnienia dotyczące zadań i funkcjonowania </w:t>
      </w:r>
      <w:r w:rsidRPr="00B07BE5">
        <w:rPr>
          <w:rFonts w:ascii="Times New Roman" w:eastAsia="Andale Sans UI" w:hAnsi="Times New Roman" w:cs="Times New Roman"/>
          <w:b/>
          <w:kern w:val="3"/>
          <w:sz w:val="24"/>
          <w:szCs w:val="24"/>
        </w:rPr>
        <w:t>Opiniodawczych Zespołów Sądowych Specjalistów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, stąd celowym jest także zapoznanie aplikantów z praktycznymi aspektami działalności tych Zespołów oraz formułowaniem postanowień dowodowych kierowanych do tych Zespołów w poszczególnych kategoriach spraw.</w:t>
      </w:r>
      <w:r w:rsidRPr="00B07B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0144" w:rsidRPr="00B07BE5" w:rsidRDefault="00630144" w:rsidP="00630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5A2E7F" w:rsidRPr="005A2E7F" w:rsidRDefault="005A2E7F" w:rsidP="005A2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A2E7F">
        <w:rPr>
          <w:rFonts w:ascii="Times New Roman" w:hAnsi="Times New Roman" w:cs="Times New Roman"/>
          <w:sz w:val="24"/>
          <w:szCs w:val="24"/>
        </w:rPr>
        <w:t>porządzenie co najmniej 1 projektu orzeczenia (wraz z uzasadnieniem i zarządzeniami)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E7F">
        <w:rPr>
          <w:rFonts w:ascii="Times New Roman" w:hAnsi="Times New Roman" w:cs="Times New Roman"/>
          <w:sz w:val="24"/>
          <w:szCs w:val="24"/>
        </w:rPr>
        <w:t>w każdej z następujących spraw: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A2E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o ustalenie/zaprzeczenie pochodzenia dziecka</w:t>
      </w:r>
      <w:r w:rsidR="00657F27">
        <w:rPr>
          <w:rFonts w:ascii="Times New Roman" w:hAnsi="Times New Roman" w:cs="Times New Roman"/>
          <w:sz w:val="24"/>
          <w:szCs w:val="24"/>
        </w:rPr>
        <w:t>;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A2E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o alimenty (zasądzenie, podwyższenie, obniżenie, uchylenie)</w:t>
      </w:r>
      <w:r w:rsidR="00657F27">
        <w:rPr>
          <w:rFonts w:ascii="Times New Roman" w:hAnsi="Times New Roman" w:cs="Times New Roman"/>
          <w:sz w:val="24"/>
          <w:szCs w:val="24"/>
        </w:rPr>
        <w:t>;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2E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o ustanowienie rozdzielności majątkowej między małżonkami</w:t>
      </w:r>
      <w:r w:rsidR="00657F27">
        <w:rPr>
          <w:rFonts w:ascii="Times New Roman" w:hAnsi="Times New Roman" w:cs="Times New Roman"/>
          <w:sz w:val="24"/>
          <w:szCs w:val="24"/>
        </w:rPr>
        <w:t>;</w:t>
      </w:r>
    </w:p>
    <w:p w:rsidR="00630144" w:rsidRPr="00C119D7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C24">
        <w:rPr>
          <w:rFonts w:ascii="Times New Roman" w:hAnsi="Times New Roman" w:cs="Times New Roman"/>
          <w:b/>
          <w:sz w:val="24"/>
          <w:szCs w:val="24"/>
        </w:rPr>
        <w:t>4</w:t>
      </w:r>
      <w:r w:rsidR="005A2E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w przedmiocie zabezpieczenia w sprawie dotyczącej pochodzenia dziecka lub w sprawie alimentacyjnej, pozbawienie, ograniczenie, zawieszenie i przywrócenie władzy rodzicielskiej</w:t>
      </w:r>
      <w:r w:rsidR="00A205D5">
        <w:rPr>
          <w:rFonts w:ascii="Times New Roman" w:hAnsi="Times New Roman" w:cs="Times New Roman"/>
          <w:sz w:val="24"/>
          <w:szCs w:val="24"/>
        </w:rPr>
        <w:t>.</w:t>
      </w:r>
    </w:p>
    <w:p w:rsidR="00630144" w:rsidRPr="00B07BE5" w:rsidRDefault="00630144" w:rsidP="00630144">
      <w:pPr>
        <w:pStyle w:val="Teksttreci60"/>
        <w:shd w:val="clear" w:color="auto" w:fill="auto"/>
        <w:tabs>
          <w:tab w:val="left" w:pos="1276"/>
          <w:tab w:val="left" w:leader="dot" w:pos="3810"/>
        </w:tabs>
        <w:spacing w:before="120" w:after="120" w:line="360" w:lineRule="auto"/>
        <w:ind w:left="993"/>
        <w:jc w:val="both"/>
        <w:rPr>
          <w:sz w:val="24"/>
          <w:szCs w:val="24"/>
        </w:rPr>
      </w:pPr>
    </w:p>
    <w:p w:rsidR="00630144" w:rsidRPr="00B07BE5" w:rsidRDefault="00630144" w:rsidP="00630144">
      <w:pPr>
        <w:pStyle w:val="Teksttreci60"/>
        <w:shd w:val="clear" w:color="auto" w:fill="auto"/>
        <w:tabs>
          <w:tab w:val="left" w:leader="dot" w:pos="3814"/>
        </w:tabs>
        <w:spacing w:line="360" w:lineRule="auto"/>
        <w:jc w:val="center"/>
        <w:rPr>
          <w:b/>
          <w:sz w:val="24"/>
          <w:szCs w:val="24"/>
        </w:rPr>
      </w:pPr>
      <w:r w:rsidRPr="00B07BE5">
        <w:rPr>
          <w:b/>
          <w:sz w:val="24"/>
          <w:szCs w:val="24"/>
        </w:rPr>
        <w:t>III.2. ZALECENIA W SPRAWIE PRAKTYK PO 2</w:t>
      </w:r>
      <w:r w:rsidR="008A0542">
        <w:rPr>
          <w:b/>
          <w:sz w:val="24"/>
          <w:szCs w:val="24"/>
        </w:rPr>
        <w:t>1</w:t>
      </w:r>
      <w:r w:rsidRPr="00B07BE5">
        <w:rPr>
          <w:b/>
          <w:sz w:val="24"/>
          <w:szCs w:val="24"/>
        </w:rPr>
        <w:t xml:space="preserve"> ZJEŹDZIE</w:t>
      </w:r>
    </w:p>
    <w:p w:rsidR="00630144" w:rsidRPr="00B07BE5" w:rsidRDefault="00630144" w:rsidP="00630144">
      <w:pPr>
        <w:pStyle w:val="Teksttreci60"/>
        <w:shd w:val="clear" w:color="auto" w:fill="auto"/>
        <w:tabs>
          <w:tab w:val="left" w:leader="dot" w:pos="3814"/>
        </w:tabs>
        <w:spacing w:line="360" w:lineRule="auto"/>
        <w:ind w:firstLine="567"/>
        <w:jc w:val="both"/>
        <w:rPr>
          <w:b/>
          <w:sz w:val="24"/>
          <w:szCs w:val="24"/>
        </w:rPr>
      </w:pPr>
    </w:p>
    <w:p w:rsidR="00630144" w:rsidRPr="007425D1" w:rsidRDefault="00630144" w:rsidP="00630144">
      <w:pPr>
        <w:pStyle w:val="Default"/>
        <w:spacing w:line="360" w:lineRule="auto"/>
        <w:rPr>
          <w:b/>
          <w:color w:val="auto"/>
        </w:rPr>
      </w:pPr>
      <w:r w:rsidRPr="007425D1">
        <w:rPr>
          <w:b/>
          <w:color w:val="auto"/>
        </w:rPr>
        <w:t xml:space="preserve">Przedmiot zjazdu: </w:t>
      </w:r>
      <w:r w:rsidRPr="007425D1">
        <w:rPr>
          <w:b/>
          <w:bCs/>
          <w:color w:val="auto"/>
        </w:rPr>
        <w:t>Prawo rodzinne – postępowanie nieprocesowe, postępowanie w sprawach nieletnich.</w:t>
      </w:r>
    </w:p>
    <w:p w:rsidR="00630144" w:rsidRPr="00B07BE5" w:rsidRDefault="00630144" w:rsidP="00630144">
      <w:pPr>
        <w:pStyle w:val="Default"/>
        <w:spacing w:line="360" w:lineRule="auto"/>
        <w:rPr>
          <w:color w:val="auto"/>
        </w:rPr>
      </w:pPr>
    </w:p>
    <w:p w:rsidR="00630144" w:rsidRPr="00B07BE5" w:rsidRDefault="00630144" w:rsidP="007425D1">
      <w:pPr>
        <w:pStyle w:val="Default"/>
        <w:numPr>
          <w:ilvl w:val="0"/>
          <w:numId w:val="10"/>
        </w:numPr>
        <w:spacing w:line="360" w:lineRule="auto"/>
        <w:ind w:left="0" w:hanging="10"/>
        <w:jc w:val="both"/>
        <w:rPr>
          <w:color w:val="auto"/>
        </w:rPr>
      </w:pPr>
      <w:r w:rsidRPr="00B07BE5">
        <w:rPr>
          <w:color w:val="auto"/>
        </w:rPr>
        <w:lastRenderedPageBreak/>
        <w:t xml:space="preserve">W zakresie </w:t>
      </w:r>
      <w:r w:rsidRPr="00B07BE5">
        <w:rPr>
          <w:b/>
          <w:color w:val="auto"/>
        </w:rPr>
        <w:t>spraw rodzinnych rozpoznawanych</w:t>
      </w:r>
      <w:r w:rsidRPr="00B07BE5">
        <w:rPr>
          <w:color w:val="auto"/>
        </w:rPr>
        <w:t xml:space="preserve"> </w:t>
      </w:r>
      <w:r w:rsidRPr="00B07BE5">
        <w:rPr>
          <w:b/>
          <w:color w:val="auto"/>
        </w:rPr>
        <w:t xml:space="preserve">w postępowaniu nieprocesowym oraz spraw opiekuńczych </w:t>
      </w:r>
      <w:r w:rsidRPr="00B07BE5">
        <w:rPr>
          <w:color w:val="auto"/>
        </w:rPr>
        <w:t xml:space="preserve">szczególnie istotne są następujące zagadnienia z zakresu </w:t>
      </w:r>
      <w:r w:rsidRPr="00B07BE5">
        <w:rPr>
          <w:color w:val="auto"/>
          <w:u w:val="single"/>
        </w:rPr>
        <w:t>prawa materialnego</w:t>
      </w:r>
      <w:r w:rsidRPr="00B07BE5">
        <w:rPr>
          <w:color w:val="auto"/>
        </w:rPr>
        <w:t>:</w:t>
      </w:r>
    </w:p>
    <w:p w:rsidR="00630144" w:rsidRPr="00B07BE5" w:rsidRDefault="00630144" w:rsidP="00630144">
      <w:pPr>
        <w:pStyle w:val="Default"/>
        <w:spacing w:line="360" w:lineRule="auto"/>
        <w:ind w:left="720"/>
        <w:rPr>
          <w:color w:val="auto"/>
        </w:rPr>
      </w:pP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wykonywanie władzy rodzicielskiej (pozbawienie, ograniczenie, zawieszenie, przywrócenie władzy rodzicielskiej);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piecza zastępcza (rodzinna, instytucjonalna); rozstrzyganie o istotnych sprawach dziecka; zarząd majątkiem dziecka; uregulowanie i wykonywanie kontaktów z dzieckiem; odebranie dziecka;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przysposobienie (krajowe i zagraniczne); opieka i kuratela; przeciwdziałanie przemocy w rodzinie; sprawy rozpoznawane na gruncie Konwencji dotyczącej cywilnych aspektów uprowadzenia dziecka za granicę</w:t>
      </w:r>
      <w:r w:rsidR="00A205D5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sprawy rozpoznawane na podstawie przepisów ustaw: o ochronie zdrowia psychicznego, o wychowaniu w trzeźwości i przeciwdziałaniu alkoholizmowi, o zawodach lekarza i lekarza dentysty, o pobieraniu, przechowywaniu i przeszczepianiu komórek, tkanek i narządów, o planowaniu rodziny, ochronie płodu ludzkiego i warunkach dopuszczalności przerywania ciąży. </w:t>
      </w:r>
    </w:p>
    <w:p w:rsidR="00630144" w:rsidRPr="00B07BE5" w:rsidRDefault="00630144" w:rsidP="00630144">
      <w:pPr>
        <w:spacing w:line="360" w:lineRule="auto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:rsidR="00630144" w:rsidRPr="00B07BE5" w:rsidRDefault="00630144" w:rsidP="00630144">
      <w:pPr>
        <w:spacing w:before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Istotne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zagadnienia</w:t>
      </w:r>
      <w:r w:rsidRPr="00B07B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proceduralne</w:t>
      </w:r>
      <w:r w:rsidRPr="00B07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</w:rPr>
        <w:t>to:</w:t>
      </w:r>
      <w:r w:rsidRPr="00B07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działanie sądu rodzinnego z urzędu; przebieg postępowania opiekuńczego od momentu zawiadomienia o zdarzeniu uzasadniającym wszczęcie postępowania z urzędu do zakończenia postępowania rozpoznawczego;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postępowania zabezpieczające w toku postępowania rozpoznawczego, w tym wydawanie postanowień o umieszczeniu małoletniego w rodzinie zastępczej lub placówce opiekuńczo-wychowawczej na czas trwania postępowania, ustanowieniu nadzoru kuratora sądowego na czas trwania postepowania, itp.;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status małoletniego w sprawach opiekuńczych, wysłuchanie małoletniego; skuteczność, wykonalność i prawomocność orzeczeń wydawanych w sprawach opiekuńczych, możliwość zmiany prawomocnego orzeczenia; 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koszty postępowania, przyznawanie opiekunowi prawnemu lub kuratorowi wynagrodzenia za pełnienie tych funkcji.</w:t>
      </w:r>
    </w:p>
    <w:p w:rsidR="00630144" w:rsidRPr="00B07BE5" w:rsidRDefault="00630144" w:rsidP="00630144">
      <w:pPr>
        <w:widowControl w:val="0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Default="00630144" w:rsidP="007425D1">
      <w:pPr>
        <w:pStyle w:val="Nagwek2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W zakresie spraw rozpoznawanych na podstawie przepisów ustawy o wspieraniu i resocjalizacji </w:t>
      </w:r>
      <w:r w:rsidRPr="007425D1">
        <w:rPr>
          <w:rStyle w:val="Uwydatnienie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nieletnich</w:t>
      </w:r>
      <w:r w:rsidRPr="00B07BE5">
        <w:rPr>
          <w:rStyle w:val="Uwydatn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color w:val="auto"/>
          <w:sz w:val="24"/>
          <w:szCs w:val="24"/>
        </w:rPr>
        <w:t xml:space="preserve">szczególnie istotne są następujące zagadnienia z zakresu </w:t>
      </w:r>
      <w:r w:rsidRPr="00B07BE5">
        <w:rPr>
          <w:rFonts w:ascii="Times New Roman" w:hAnsi="Times New Roman" w:cs="Times New Roman"/>
          <w:color w:val="auto"/>
          <w:sz w:val="24"/>
          <w:szCs w:val="24"/>
          <w:u w:val="single"/>
        </w:rPr>
        <w:t>prawa materialnego:</w:t>
      </w:r>
    </w:p>
    <w:p w:rsidR="00630144" w:rsidRPr="00576530" w:rsidRDefault="00630144" w:rsidP="00630144">
      <w:pPr>
        <w:spacing w:line="360" w:lineRule="auto"/>
      </w:pP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zakres przedmiotowy i podmiotowy stosowania ustawy  o wspieraniu i resocjalizacji nieletnich;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pojęcie demoralizacji i czynu karalnego; środki wychowawcze, środek leczniczy, środek poprawczy oraz zasady i przesłanki stosowania tych środków;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nakładanie obowiązków na rodziców i opiekunów; stosowanie środków tymczasowych; umieszczenie nieletniego w schronisku dla nieletnich; nadzór sędziego nad przestrzeganiem przepisów w zakresie zatrzymania nieletniego i umieszczenia w policyjnej izbie dziecka;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zmiana lub uchylenie środka wychowawczego; odwołanie warunkowego zawieszenia  lub warunkowego zwolnienia z zakładu poprawczego.</w:t>
      </w:r>
    </w:p>
    <w:p w:rsidR="00630144" w:rsidRPr="00B07BE5" w:rsidRDefault="00630144" w:rsidP="00630144">
      <w:pPr>
        <w:spacing w:before="12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before="12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Istotne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zagadnienia</w:t>
      </w:r>
      <w:r w:rsidRPr="00B07B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proceduralne</w:t>
      </w:r>
      <w:r w:rsidRPr="00B07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</w:rPr>
        <w:t>to:</w:t>
      </w:r>
      <w:r w:rsidRPr="00B07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odpowiednie stosowanie przepisów Kodeksu postępowania cywilnego oraz przepisów Kodeksu postępowania karnego w sprawach nieletnich wszczętych na podstawie </w:t>
      </w:r>
      <w:r w:rsidRPr="00B07BE5">
        <w:rPr>
          <w:rFonts w:ascii="Times New Roman" w:hAnsi="Times New Roman" w:cs="Times New Roman"/>
          <w:b/>
          <w:sz w:val="24"/>
          <w:szCs w:val="24"/>
        </w:rPr>
        <w:t>ustawy o wspieraniu i resocjalizacji nieletnich,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bieg postępowania w sprawie nieletniego od zawiadomienia o podejrzeniu dopuszczenia się popełnienia czynu karalnego lub o zrachowaniach świadczących o uleganiu procesowi demoralizacji do zakończenia postępowania rozpoznawczego;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strony postępowania; uprawnienia pokrzywdzonego, który nie jest stroną; przypadki obligatoryjnej obrony; właściwość rzeczowa sądu;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podejmowanie decyzj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i na procesowych na etapie postępowania rozpoznawczego w I instancji i wykonawczego;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przebieg rozprawy lub posiedzenia, w tym wysłuchanie nieletniego; wydawanie postanowień o zastosowaniu środka tymczasowego w postaci umieszczenia nieletniego w schronisku dla nieletnich oraz zarządzeń dotyczących ustalenia miejsca w schronisku; doprowadzenie nieletniego do schroniska; przedłużanie pobytu w schronisku;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postępowanie dowodowe, w tym zlecenie wywiadu, opinii biegłych w trakcie pobytu nieletniego w schronisku lub opinii opiniodawczego zespołu sądowych specjalistów;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doręczanie postanowień i zawiadomień;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konstruowanie orzeczenia kończącego postępowanie w sprawie, w szczególności orzeczenia o zastosowaniu środków wychowawczych, środka leczniczego  lub środka poprawczego</w:t>
      </w:r>
      <w:r w:rsidR="00A205D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;</w:t>
      </w:r>
      <w:bookmarkStart w:id="1" w:name="_GoBack"/>
      <w:bookmarkEnd w:id="1"/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lastRenderedPageBreak/>
        <w:t xml:space="preserve">wydawanie postanowienia o przekazaniu sprawy prokuratorowi, jeżeli w toku postępowania wyjaśniającego ujawnione zostaną okoliczności uzasadniające orzeczenie wobec nieletniego kary na podstawie art. 10 § 2 k.k.;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wydawanie postanowienia o przekazaniu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sprawy nieletniego szkole, do której nieletni uczęszcza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albo organizacjom przewidzianym w ustawie.</w:t>
      </w:r>
    </w:p>
    <w:p w:rsidR="00630144" w:rsidRPr="00B07BE5" w:rsidRDefault="00630144" w:rsidP="00630144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144" w:rsidRPr="00B07BE5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630144" w:rsidRPr="005A2E7F" w:rsidRDefault="005A2E7F" w:rsidP="00630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9613357"/>
      <w:r>
        <w:rPr>
          <w:rFonts w:ascii="Times New Roman" w:hAnsi="Times New Roman" w:cs="Times New Roman"/>
          <w:sz w:val="24"/>
          <w:szCs w:val="24"/>
        </w:rPr>
        <w:t>s</w:t>
      </w:r>
      <w:r w:rsidR="00630144" w:rsidRPr="00B07BE5">
        <w:rPr>
          <w:rFonts w:ascii="Times New Roman" w:hAnsi="Times New Roman" w:cs="Times New Roman"/>
          <w:sz w:val="24"/>
          <w:szCs w:val="24"/>
        </w:rPr>
        <w:t xml:space="preserve">porządzenie </w:t>
      </w:r>
      <w:r>
        <w:rPr>
          <w:rFonts w:ascii="Times New Roman" w:hAnsi="Times New Roman" w:cs="Times New Roman"/>
          <w:sz w:val="24"/>
          <w:szCs w:val="24"/>
        </w:rPr>
        <w:t xml:space="preserve">co najmniej 1 </w:t>
      </w:r>
      <w:r w:rsidR="00630144" w:rsidRPr="00B07BE5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630144" w:rsidRPr="00B07BE5">
        <w:rPr>
          <w:rFonts w:ascii="Times New Roman" w:hAnsi="Times New Roman" w:cs="Times New Roman"/>
          <w:sz w:val="24"/>
          <w:szCs w:val="24"/>
        </w:rPr>
        <w:t xml:space="preserve"> orzecze</w:t>
      </w:r>
      <w:r>
        <w:rPr>
          <w:rFonts w:ascii="Times New Roman" w:hAnsi="Times New Roman" w:cs="Times New Roman"/>
          <w:sz w:val="24"/>
          <w:szCs w:val="24"/>
        </w:rPr>
        <w:t>nia (</w:t>
      </w:r>
      <w:r w:rsidR="00630144" w:rsidRPr="005A2E7F">
        <w:rPr>
          <w:rFonts w:ascii="Times New Roman" w:hAnsi="Times New Roman" w:cs="Times New Roman"/>
          <w:sz w:val="24"/>
          <w:szCs w:val="24"/>
        </w:rPr>
        <w:t>wraz z uzasadnieniem i zarządzeniami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="00630144" w:rsidRPr="005A2E7F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każdej z następujących </w:t>
      </w:r>
      <w:r w:rsidR="00630144" w:rsidRPr="005A2E7F">
        <w:rPr>
          <w:rFonts w:ascii="Times New Roman" w:eastAsia="Times New Roman" w:hAnsi="Times New Roman" w:cs="Times New Roman"/>
          <w:sz w:val="24"/>
          <w:szCs w:val="24"/>
        </w:rPr>
        <w:t>spraw:</w:t>
      </w:r>
    </w:p>
    <w:bookmarkEnd w:id="2"/>
    <w:p w:rsidR="00630144" w:rsidRPr="00B07BE5" w:rsidRDefault="00630144" w:rsidP="0063014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o uregulowanie lub wykonywanie kontaktów z dzieckiem;</w:t>
      </w:r>
    </w:p>
    <w:p w:rsidR="00630144" w:rsidRPr="00B07BE5" w:rsidRDefault="00630144" w:rsidP="0063014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o wydanie rozstrzygnięcia o istotnych sprawach dziecka lub o wyrażenie zgody na dokonanie czynności przekraczających zakres zwykłego zarządu majątkiem dziecka;</w:t>
      </w:r>
    </w:p>
    <w:p w:rsidR="00630144" w:rsidRPr="00B07BE5" w:rsidRDefault="00630144" w:rsidP="0063014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 zakresu opieki lub kurateli;</w:t>
      </w:r>
    </w:p>
    <w:p w:rsidR="00630144" w:rsidRPr="00B07BE5" w:rsidRDefault="00630144" w:rsidP="0063014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rozpoznawanych na podstawie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576530">
        <w:rPr>
          <w:rFonts w:ascii="Times New Roman" w:hAnsi="Times New Roman" w:cs="Times New Roman"/>
          <w:sz w:val="24"/>
          <w:szCs w:val="24"/>
        </w:rPr>
        <w:t xml:space="preserve"> o wspieraniu i resocjalizacji nieletnich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144" w:rsidRDefault="00630144" w:rsidP="0063014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30144" w:rsidRPr="00585C24" w:rsidRDefault="00630144" w:rsidP="00630144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2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:rsidR="00630144" w:rsidRPr="00585C24" w:rsidRDefault="00630144" w:rsidP="00630144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144" w:rsidRPr="00585C24" w:rsidRDefault="00630144" w:rsidP="00630144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24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Kucharczyk</w:t>
      </w:r>
    </w:p>
    <w:p w:rsidR="00630144" w:rsidRPr="00585C24" w:rsidRDefault="00630144" w:rsidP="00630144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24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p w:rsidR="00630144" w:rsidRPr="00B07BE5" w:rsidRDefault="00630144" w:rsidP="006301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Teksttreci60"/>
        <w:shd w:val="clear" w:color="auto" w:fill="auto"/>
        <w:tabs>
          <w:tab w:val="left" w:leader="dot" w:pos="3810"/>
        </w:tabs>
        <w:spacing w:before="120" w:after="120" w:line="360" w:lineRule="auto"/>
        <w:jc w:val="both"/>
        <w:rPr>
          <w:sz w:val="24"/>
          <w:szCs w:val="24"/>
        </w:rPr>
      </w:pPr>
    </w:p>
    <w:p w:rsidR="00630144" w:rsidRDefault="00630144"/>
    <w:sectPr w:rsidR="006301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ED9" w:rsidRDefault="00675ED9">
      <w:pPr>
        <w:spacing w:after="0" w:line="240" w:lineRule="auto"/>
      </w:pPr>
      <w:r>
        <w:separator/>
      </w:r>
    </w:p>
  </w:endnote>
  <w:endnote w:type="continuationSeparator" w:id="0">
    <w:p w:rsidR="00675ED9" w:rsidRDefault="0067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318075"/>
      <w:docPartObj>
        <w:docPartGallery w:val="Page Numbers (Bottom of Page)"/>
        <w:docPartUnique/>
      </w:docPartObj>
    </w:sdtPr>
    <w:sdtEndPr/>
    <w:sdtContent>
      <w:p w:rsidR="007A3737" w:rsidRDefault="001669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DA6">
          <w:rPr>
            <w:noProof/>
          </w:rPr>
          <w:t>2</w:t>
        </w:r>
        <w:r>
          <w:fldChar w:fldCharType="end"/>
        </w:r>
      </w:p>
    </w:sdtContent>
  </w:sdt>
  <w:p w:rsidR="007A3737" w:rsidRDefault="00675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ED9" w:rsidRDefault="00675ED9">
      <w:pPr>
        <w:spacing w:after="0" w:line="240" w:lineRule="auto"/>
      </w:pPr>
      <w:r>
        <w:separator/>
      </w:r>
    </w:p>
  </w:footnote>
  <w:footnote w:type="continuationSeparator" w:id="0">
    <w:p w:rsidR="00675ED9" w:rsidRDefault="0067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1D1"/>
    <w:multiLevelType w:val="hybridMultilevel"/>
    <w:tmpl w:val="3DF2FAC8"/>
    <w:lvl w:ilvl="0" w:tplc="77A0A36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65A21"/>
    <w:multiLevelType w:val="hybridMultilevel"/>
    <w:tmpl w:val="208AC52E"/>
    <w:lvl w:ilvl="0" w:tplc="221CFC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452BD"/>
    <w:multiLevelType w:val="hybridMultilevel"/>
    <w:tmpl w:val="3F9E015C"/>
    <w:lvl w:ilvl="0" w:tplc="A414148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8A026A"/>
    <w:multiLevelType w:val="hybridMultilevel"/>
    <w:tmpl w:val="2496D05E"/>
    <w:lvl w:ilvl="0" w:tplc="57105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DA2"/>
    <w:multiLevelType w:val="hybridMultilevel"/>
    <w:tmpl w:val="DC5A161C"/>
    <w:lvl w:ilvl="0" w:tplc="7A207B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02CE9"/>
    <w:multiLevelType w:val="hybridMultilevel"/>
    <w:tmpl w:val="59A2F788"/>
    <w:lvl w:ilvl="0" w:tplc="BD4ED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7B1"/>
    <w:multiLevelType w:val="hybridMultilevel"/>
    <w:tmpl w:val="A27E22FA"/>
    <w:lvl w:ilvl="0" w:tplc="1DDCC7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307AB5"/>
    <w:multiLevelType w:val="hybridMultilevel"/>
    <w:tmpl w:val="5540E1FE"/>
    <w:lvl w:ilvl="0" w:tplc="861ECA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7492F"/>
    <w:multiLevelType w:val="hybridMultilevel"/>
    <w:tmpl w:val="952C5130"/>
    <w:lvl w:ilvl="0" w:tplc="3536DAA8">
      <w:start w:val="1"/>
      <w:numFmt w:val="upperRoman"/>
      <w:lvlText w:val="%1)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44"/>
    <w:rsid w:val="00166926"/>
    <w:rsid w:val="0031124D"/>
    <w:rsid w:val="00445671"/>
    <w:rsid w:val="00504B7B"/>
    <w:rsid w:val="00573FE0"/>
    <w:rsid w:val="005A2E7F"/>
    <w:rsid w:val="005B01B9"/>
    <w:rsid w:val="00630144"/>
    <w:rsid w:val="00657F27"/>
    <w:rsid w:val="00675ED9"/>
    <w:rsid w:val="007425D1"/>
    <w:rsid w:val="00864658"/>
    <w:rsid w:val="008A0542"/>
    <w:rsid w:val="00905532"/>
    <w:rsid w:val="009164D2"/>
    <w:rsid w:val="009F4580"/>
    <w:rsid w:val="00A205D5"/>
    <w:rsid w:val="00B6088B"/>
    <w:rsid w:val="00C57C27"/>
    <w:rsid w:val="00EF73B4"/>
    <w:rsid w:val="00F13DA6"/>
    <w:rsid w:val="00FF1285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17FD"/>
  <w15:docId w15:val="{B13E25FA-DB82-4717-AE9C-106216A5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14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01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30144"/>
    <w:pPr>
      <w:ind w:left="720"/>
      <w:contextualSpacing/>
    </w:pPr>
  </w:style>
  <w:style w:type="table" w:styleId="Tabela-Siatka">
    <w:name w:val="Table Grid"/>
    <w:basedOn w:val="Standardowy"/>
    <w:uiPriority w:val="39"/>
    <w:rsid w:val="0063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6301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301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63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144"/>
  </w:style>
  <w:style w:type="character" w:styleId="Hipercze">
    <w:name w:val="Hyperlink"/>
    <w:basedOn w:val="Domylnaczcionkaakapitu"/>
    <w:uiPriority w:val="99"/>
    <w:unhideWhenUsed/>
    <w:rsid w:val="00630144"/>
    <w:rPr>
      <w:color w:val="0563C1" w:themeColor="hyperlink"/>
      <w:u w:val="single"/>
    </w:rPr>
  </w:style>
  <w:style w:type="paragraph" w:customStyle="1" w:styleId="Default">
    <w:name w:val="Default"/>
    <w:rsid w:val="00630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144"/>
    <w:rPr>
      <w:i/>
      <w:iCs/>
    </w:rPr>
  </w:style>
  <w:style w:type="character" w:styleId="Pogrubienie">
    <w:name w:val="Strong"/>
    <w:basedOn w:val="Domylnaczcionkaakapitu"/>
    <w:uiPriority w:val="22"/>
    <w:qFormat/>
    <w:rsid w:val="0063014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6088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81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561A-AC1E-4581-AF6A-98A932B3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Mariusz Kucharczyk</cp:lastModifiedBy>
  <cp:revision>3</cp:revision>
  <dcterms:created xsi:type="dcterms:W3CDTF">2024-06-18T16:39:00Z</dcterms:created>
  <dcterms:modified xsi:type="dcterms:W3CDTF">2024-06-18T16:39:00Z</dcterms:modified>
</cp:coreProperties>
</file>